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CA5" w:rsidRDefault="00AA1CA5" w:rsidP="008814D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20E9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22383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4D3" w:rsidRPr="008814D3" w:rsidRDefault="00AA1CA5" w:rsidP="008814D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Пропозиції ПАРД</w:t>
      </w:r>
    </w:p>
    <w:p w:rsidR="008814D3" w:rsidRPr="008814D3" w:rsidRDefault="008814D3" w:rsidP="008814D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14D3"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установу фінансового омбудсмена»</w:t>
      </w:r>
      <w:r w:rsidR="00AA1CA5">
        <w:rPr>
          <w:rFonts w:ascii="Times New Roman" w:eastAsia="Times New Roman" w:hAnsi="Times New Roman" w:cs="Times New Roman"/>
          <w:b/>
          <w:sz w:val="28"/>
          <w:szCs w:val="28"/>
        </w:rPr>
        <w:t xml:space="preserve"> (реєстр. №8055)</w:t>
      </w:r>
    </w:p>
    <w:tbl>
      <w:tblPr>
        <w:tblW w:w="5965" w:type="pct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  <w:gridCol w:w="34"/>
        <w:gridCol w:w="14"/>
        <w:gridCol w:w="204"/>
        <w:gridCol w:w="5422"/>
      </w:tblGrid>
      <w:tr w:rsidR="00B35156" w:rsidRPr="008814D3" w:rsidTr="007A136A">
        <w:trPr>
          <w:trHeight w:val="252"/>
        </w:trPr>
        <w:tc>
          <w:tcPr>
            <w:tcW w:w="2530" w:type="pct"/>
          </w:tcPr>
          <w:p w:rsidR="008814D3" w:rsidRPr="008814D3" w:rsidRDefault="008814D3" w:rsidP="007A1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2470" w:type="pct"/>
            <w:gridSpan w:val="4"/>
          </w:tcPr>
          <w:p w:rsidR="008814D3" w:rsidRPr="008814D3" w:rsidRDefault="008814D3" w:rsidP="007A1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Редакція із урахуванням запропонованих змін</w:t>
            </w:r>
          </w:p>
        </w:tc>
      </w:tr>
      <w:tr w:rsidR="00E5118B" w:rsidRPr="008814D3" w:rsidTr="007A136A">
        <w:trPr>
          <w:trHeight w:val="252"/>
        </w:trPr>
        <w:tc>
          <w:tcPr>
            <w:tcW w:w="5000" w:type="pct"/>
            <w:gridSpan w:val="5"/>
          </w:tcPr>
          <w:p w:rsidR="008814D3" w:rsidRPr="008814D3" w:rsidRDefault="008814D3" w:rsidP="007A1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3. Мета діяльності установи фінансового омбудсмена</w:t>
            </w:r>
          </w:p>
        </w:tc>
      </w:tr>
      <w:tr w:rsidR="00B35156" w:rsidRPr="008814D3" w:rsidTr="007A136A">
        <w:trPr>
          <w:trHeight w:val="2436"/>
        </w:trPr>
        <w:tc>
          <w:tcPr>
            <w:tcW w:w="2530" w:type="pct"/>
          </w:tcPr>
          <w:p w:rsidR="008814D3" w:rsidRPr="008814D3" w:rsidRDefault="008814D3" w:rsidP="007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sz w:val="28"/>
                <w:szCs w:val="28"/>
              </w:rPr>
              <w:t>1. Метою діяльності установи фінансового омбудсмена є:</w:t>
            </w:r>
          </w:p>
          <w:p w:rsidR="008814D3" w:rsidRPr="008814D3" w:rsidRDefault="008814D3" w:rsidP="007A13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альтернативне (позасудове) врегулювання спорів між </w:t>
            </w:r>
            <w:r w:rsidRPr="008814D3">
              <w:rPr>
                <w:rFonts w:ascii="Times New Roman" w:eastAsia="Times New Roman" w:hAnsi="Times New Roman" w:cs="Times New Roman"/>
                <w:sz w:val="28"/>
                <w:szCs w:val="28"/>
              </w:rPr>
              <w:t>споживачами та надавачами фінансових послуг;</w:t>
            </w:r>
          </w:p>
          <w:p w:rsidR="008814D3" w:rsidRPr="008814D3" w:rsidRDefault="008814D3" w:rsidP="007A13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сприяння підвищенню якості надання фінансових послуг;</w:t>
            </w:r>
          </w:p>
          <w:p w:rsidR="008814D3" w:rsidRPr="008814D3" w:rsidRDefault="008814D3" w:rsidP="007A13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сприяння споживачам фінансових послуг у захисті їх законних прав та інтересів;</w:t>
            </w:r>
          </w:p>
          <w:p w:rsidR="008814D3" w:rsidRPr="008814D3" w:rsidRDefault="008814D3" w:rsidP="007A13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підвищення довіри між споживачами та надавачами фінансових послуг;</w:t>
            </w:r>
          </w:p>
          <w:p w:rsidR="008814D3" w:rsidRPr="008814D3" w:rsidRDefault="008814D3" w:rsidP="007A13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підвищення фінансової обізнаності споживачів фінансових послуг.</w:t>
            </w:r>
          </w:p>
          <w:p w:rsidR="008814D3" w:rsidRPr="008814D3" w:rsidRDefault="008814D3" w:rsidP="007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pct"/>
            <w:gridSpan w:val="4"/>
          </w:tcPr>
          <w:p w:rsidR="008814D3" w:rsidRPr="008814D3" w:rsidRDefault="008814D3" w:rsidP="007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sz w:val="28"/>
                <w:szCs w:val="28"/>
              </w:rPr>
              <w:t>1. Метою діяльності установи фінансового омбудсмена є:</w:t>
            </w:r>
          </w:p>
          <w:p w:rsidR="008814D3" w:rsidRPr="008814D3" w:rsidRDefault="008814D3" w:rsidP="007A136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альтернативне (позасудове) врегулювання спорів між </w:t>
            </w:r>
            <w:r w:rsidRPr="008814D3">
              <w:rPr>
                <w:rFonts w:ascii="Times New Roman" w:eastAsia="Times New Roman" w:hAnsi="Times New Roman" w:cs="Times New Roman"/>
                <w:sz w:val="28"/>
                <w:szCs w:val="28"/>
              </w:rPr>
              <w:t>споживачами та надавачами ф</w:t>
            </w:r>
            <w:bookmarkStart w:id="0" w:name="_GoBack"/>
            <w:bookmarkEnd w:id="0"/>
            <w:r w:rsidRPr="008814D3">
              <w:rPr>
                <w:rFonts w:ascii="Times New Roman" w:eastAsia="Times New Roman" w:hAnsi="Times New Roman" w:cs="Times New Roman"/>
                <w:sz w:val="28"/>
                <w:szCs w:val="28"/>
              </w:rPr>
              <w:t>інансових послуг;</w:t>
            </w:r>
          </w:p>
          <w:p w:rsidR="008814D3" w:rsidRPr="008814D3" w:rsidRDefault="008814D3" w:rsidP="007A136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сприяння підвищенню якості надання фінансових послуг;</w:t>
            </w:r>
          </w:p>
          <w:p w:rsidR="008814D3" w:rsidRPr="008814D3" w:rsidRDefault="008814D3" w:rsidP="007A136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сприяння споживачам фінансових послуг у захисті їх законних прав та інтересів;</w:t>
            </w:r>
          </w:p>
          <w:p w:rsidR="008814D3" w:rsidRDefault="008814D3" w:rsidP="007A136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підвищення довіри між споживачами та надавачами фінансових послуг;</w:t>
            </w:r>
          </w:p>
          <w:p w:rsidR="008814D3" w:rsidRPr="008814D3" w:rsidRDefault="008814D3" w:rsidP="007A136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  <w:t xml:space="preserve">виключити підпункт 5, оскільки він не відповідає змісту діяльності установи фінансового </w:t>
            </w:r>
            <w:proofErr w:type="spellStart"/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  <w:t>умбудсмена</w:t>
            </w:r>
            <w:proofErr w:type="spellEnd"/>
            <w:r w:rsidRPr="008814D3"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  <w:t>.</w:t>
            </w:r>
          </w:p>
        </w:tc>
      </w:tr>
      <w:tr w:rsidR="008814D3" w:rsidTr="007A136A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5000" w:type="pct"/>
            <w:gridSpan w:val="5"/>
          </w:tcPr>
          <w:p w:rsidR="008814D3" w:rsidRDefault="008814D3" w:rsidP="007A136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4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6. Формування наглядової ради установи фінансового омбудсмена</w:t>
            </w:r>
          </w:p>
        </w:tc>
      </w:tr>
      <w:tr w:rsidR="00824E88" w:rsidTr="007A136A">
        <w:tblPrEx>
          <w:tblLook w:val="0000" w:firstRow="0" w:lastRow="0" w:firstColumn="0" w:lastColumn="0" w:noHBand="0" w:noVBand="0"/>
        </w:tblPrEx>
        <w:trPr>
          <w:trHeight w:val="4963"/>
        </w:trPr>
        <w:tc>
          <w:tcPr>
            <w:tcW w:w="2530" w:type="pct"/>
          </w:tcPr>
          <w:p w:rsidR="008814D3" w:rsidRPr="00807C4F" w:rsidRDefault="00807C4F" w:rsidP="007A136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</w:t>
            </w:r>
            <w:r w:rsidR="008814D3" w:rsidRPr="008814D3">
              <w:rPr>
                <w:rFonts w:ascii="Times New Roman" w:hAnsi="Times New Roman" w:cs="Times New Roman"/>
                <w:bCs/>
                <w:sz w:val="28"/>
                <w:szCs w:val="28"/>
              </w:rPr>
              <w:t>Члени номінаційного комітету повинні мати бездоганну ділову репутацію і бути незалежними, зокрема такі члени не можуть обіймати виборні посади або бути посадовими особами органів державної влади, органів, які здійснюють державне регулювання ринків фінансових послуг, та/або органів місцевого самоврядування, а також входити до складу органів управління або мати трудові відносини з надавачами фінансових послуг або інші обставини, що можуть спричинити конфлікт інтересів.</w:t>
            </w:r>
          </w:p>
        </w:tc>
        <w:tc>
          <w:tcPr>
            <w:tcW w:w="2470" w:type="pct"/>
            <w:gridSpan w:val="4"/>
          </w:tcPr>
          <w:p w:rsidR="008814D3" w:rsidRPr="00807C4F" w:rsidRDefault="00807C4F" w:rsidP="007A136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</w:t>
            </w:r>
            <w:r w:rsidR="008814D3" w:rsidRPr="008814D3">
              <w:rPr>
                <w:rFonts w:ascii="Times New Roman" w:hAnsi="Times New Roman" w:cs="Times New Roman"/>
                <w:bCs/>
                <w:sz w:val="28"/>
                <w:szCs w:val="28"/>
              </w:rPr>
              <w:t>Члени номінаційного комітету повинні мати бездоганну ділову репутацію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>досвід роботи</w:t>
            </w:r>
            <w:r w:rsidR="00A60E9E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 xml:space="preserve"> у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 xml:space="preserve"> </w:t>
            </w:r>
            <w:r w:rsidR="00A60E9E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>фінансовій сфері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 xml:space="preserve"> не менше 10 років</w:t>
            </w:r>
            <w:r w:rsidR="008814D3" w:rsidRPr="008814D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і бути незалежними, зокрема такі члени не можуть обіймати виборні посади або бути посадовими особами органів державної влади, органів, які здійснюють державне регулювання ринків фінансових послуг, та/або органів місцевого самоврядування, а також входити до складу органів управління або мати трудові відносини з надавачами фінансових послуг або інші обставини, що можуть спричинити конфлікт інтересів.</w:t>
            </w:r>
          </w:p>
        </w:tc>
      </w:tr>
      <w:tr w:rsidR="00B35156" w:rsidTr="007A136A">
        <w:tblPrEx>
          <w:tblLook w:val="0000" w:firstRow="0" w:lastRow="0" w:firstColumn="0" w:lastColumn="0" w:noHBand="0" w:noVBand="0"/>
        </w:tblPrEx>
        <w:trPr>
          <w:trHeight w:val="1266"/>
        </w:trPr>
        <w:tc>
          <w:tcPr>
            <w:tcW w:w="2530" w:type="pct"/>
          </w:tcPr>
          <w:p w:rsidR="00807C4F" w:rsidRPr="008814D3" w:rsidRDefault="00807C4F" w:rsidP="007A136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7. 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</w:rPr>
              <w:t>Членом наглядової ради установи фінансового омбудсмена може бути громадянин України, який має вищу економічну або юридичну освіту, або науковий ступінь у галузі економіки, фінансів та/або права і при цьому має практичний досвід роботи у галузі економіки, фінансів, права; має бездоганну ділову репутацію; відповідає критеріям ділової практики та професійної етики.</w:t>
            </w:r>
          </w:p>
        </w:tc>
        <w:tc>
          <w:tcPr>
            <w:tcW w:w="2470" w:type="pct"/>
            <w:gridSpan w:val="4"/>
          </w:tcPr>
          <w:p w:rsidR="00807C4F" w:rsidRPr="008814D3" w:rsidRDefault="00807C4F" w:rsidP="007A136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7. 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Членом наглядової ради установи фінансового омбудсмена може бути громадянин України, який має вищу економічну або юридичну освіту, або науковий ступінь у галузі економіки, фінансів та/або права 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 xml:space="preserve">і при цьому має досвід роботи у </w:t>
            </w:r>
            <w:r w:rsidR="00A60E9E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 xml:space="preserve">фінансовій сфері 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>не менше 10 років;</w:t>
            </w:r>
            <w:r w:rsidRPr="00807C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має бездоганну ділову репутацію; відповідає критеріям ділової практики та професійної етики.</w:t>
            </w:r>
          </w:p>
        </w:tc>
      </w:tr>
      <w:tr w:rsidR="00807C4F" w:rsidTr="007A136A">
        <w:tblPrEx>
          <w:tblLook w:val="0000" w:firstRow="0" w:lastRow="0" w:firstColumn="0" w:lastColumn="0" w:noHBand="0" w:noVBand="0"/>
        </w:tblPrEx>
        <w:trPr>
          <w:trHeight w:val="38"/>
        </w:trPr>
        <w:tc>
          <w:tcPr>
            <w:tcW w:w="5000" w:type="pct"/>
            <w:gridSpan w:val="5"/>
          </w:tcPr>
          <w:p w:rsidR="00807C4F" w:rsidRPr="00807C4F" w:rsidRDefault="00807C4F" w:rsidP="007A13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7C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8. Компетенція та порядок прийняття рішень наглядової ради установи фінансового омбудсмена</w:t>
            </w:r>
          </w:p>
        </w:tc>
      </w:tr>
      <w:tr w:rsidR="00B35156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842"/>
        </w:trPr>
        <w:tc>
          <w:tcPr>
            <w:tcW w:w="25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E9E" w:rsidRDefault="00A60E9E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E9E">
              <w:rPr>
                <w:rFonts w:ascii="Times New Roman" w:hAnsi="Times New Roman" w:cs="Times New Roman"/>
                <w:sz w:val="28"/>
                <w:szCs w:val="28"/>
              </w:rPr>
              <w:t>1. До компетенції наглядової ради установи фінансового омбудсмена належить прийняття рішень щодо:</w:t>
            </w:r>
          </w:p>
          <w:p w:rsidR="00807C4F" w:rsidRDefault="00A60E9E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E9E">
              <w:rPr>
                <w:rFonts w:ascii="Times New Roman" w:hAnsi="Times New Roman" w:cs="Times New Roman"/>
                <w:sz w:val="28"/>
                <w:szCs w:val="28"/>
              </w:rPr>
              <w:t>2) визначення методики розрахунку розміру та порядку сплати надавачами фінансових послуг внесків на фінансування діяльності установи фінансового омбудсмена та зборів за розгляд спору споживачами з урахуванням обмежень, встановлених цим Законом;</w:t>
            </w:r>
          </w:p>
        </w:tc>
        <w:tc>
          <w:tcPr>
            <w:tcW w:w="247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E9E" w:rsidRPr="00A60E9E" w:rsidRDefault="00A60E9E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E9E">
              <w:rPr>
                <w:rFonts w:ascii="Times New Roman" w:hAnsi="Times New Roman" w:cs="Times New Roman"/>
                <w:sz w:val="28"/>
                <w:szCs w:val="28"/>
              </w:rPr>
              <w:t>1. До компетенції наглядової ради установи фінансового омбудсмена належить прийняття рішень щодо:</w:t>
            </w:r>
          </w:p>
          <w:p w:rsidR="00807C4F" w:rsidRDefault="00A60E9E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E9E">
              <w:rPr>
                <w:rFonts w:ascii="Times New Roman" w:hAnsi="Times New Roman" w:cs="Times New Roman"/>
                <w:sz w:val="28"/>
                <w:szCs w:val="28"/>
              </w:rPr>
              <w:t>2) визначення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60E9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критеріїв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</w:t>
            </w:r>
            <w:r w:rsidRPr="00A60E9E">
              <w:rPr>
                <w:rFonts w:ascii="Times New Roman" w:hAnsi="Times New Roman" w:cs="Times New Roman"/>
                <w:sz w:val="28"/>
                <w:szCs w:val="28"/>
              </w:rPr>
              <w:t xml:space="preserve"> методики розрахунку розміру та порядку сплати надавачами фінансових послуг внесків на фінансування діяльності установи фінансового омбудсмена та зборів за розгляд спору споживачами з урахуванням обмежень, встановлених цим Законом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0E9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та публікувати дану інформацію на офіційній сторінці установи фінансового омбудсмена в мережі Інтернет.</w:t>
            </w:r>
          </w:p>
        </w:tc>
      </w:tr>
      <w:tr w:rsidR="00807C4F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4F" w:rsidRPr="00A60E9E" w:rsidRDefault="00A60E9E" w:rsidP="007A13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E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13. Порядок фінансування діяльності установи фінансового омбудсмена</w:t>
            </w:r>
          </w:p>
        </w:tc>
      </w:tr>
      <w:tr w:rsidR="00B35156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5377"/>
        </w:trPr>
        <w:tc>
          <w:tcPr>
            <w:tcW w:w="2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E9E" w:rsidRDefault="00A60E9E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5156" w:rsidRDefault="00B35156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5156" w:rsidRDefault="00B35156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8B" w:rsidRDefault="00E5118B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… </w:t>
            </w:r>
            <w:r w:rsidRPr="00E5118B">
              <w:rPr>
                <w:rFonts w:ascii="Times New Roman" w:hAnsi="Times New Roman" w:cs="Times New Roman"/>
                <w:sz w:val="28"/>
                <w:szCs w:val="28"/>
              </w:rPr>
              <w:t xml:space="preserve">Розмір початкових внесків на фінансування діяльності установи фінансового омбудсмена протягом першого року діяльності установи фінансового омбудсмена у розрахунку на один місяць на одного надавача фінансових послуг не має перевищувати половини розміру прожиткового мінімуму для працездатних осіб, встановленого законом на 1 січня календарного року, в якому </w:t>
            </w:r>
            <w:proofErr w:type="spellStart"/>
            <w:r w:rsidRPr="00E511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цей</w:t>
            </w:r>
            <w:proofErr w:type="spellEnd"/>
            <w:r w:rsidRPr="00E511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11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внесок</w:t>
            </w:r>
            <w:proofErr w:type="spellEnd"/>
            <w:r w:rsidRPr="00E511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11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сплачу</w:t>
            </w:r>
            <w:r w:rsidRPr="00E5118B">
              <w:rPr>
                <w:rFonts w:ascii="Times New Roman" w:hAnsi="Times New Roman" w:cs="Times New Roman"/>
                <w:sz w:val="28"/>
                <w:szCs w:val="28"/>
              </w:rPr>
              <w:t>ється</w:t>
            </w:r>
            <w:proofErr w:type="spellEnd"/>
            <w:r w:rsidRPr="00E511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4E88" w:rsidRDefault="00824E88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  <w:r w:rsidRPr="00824E88">
              <w:rPr>
                <w:rFonts w:ascii="Times New Roman" w:hAnsi="Times New Roman" w:cs="Times New Roman"/>
                <w:sz w:val="28"/>
                <w:szCs w:val="28"/>
              </w:rPr>
              <w:t>Періодичні внески повинні бути диференційованими, враховуючи вид діяльності надавача фінансових послуг, розмір його активів та зобов’язань за операціями з фізичними особами, а також кількість скарг, поданих споживачами фінансових послуг на відповідну категорію надавачів фінансових послуг або на певного надавача фінансових послуг протягом певного періоду часу.</w:t>
            </w:r>
          </w:p>
        </w:tc>
        <w:tc>
          <w:tcPr>
            <w:tcW w:w="24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E9E" w:rsidRDefault="00A60E9E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Додати до пункту першого </w:t>
            </w:r>
            <w:r w:rsidR="004B2EFB">
              <w:rPr>
                <w:rFonts w:ascii="Times New Roman" w:hAnsi="Times New Roman" w:cs="Times New Roman"/>
                <w:sz w:val="28"/>
                <w:szCs w:val="28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абзац</w:t>
            </w:r>
            <w:r w:rsidR="004B2E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2EFB">
              <w:rPr>
                <w:rFonts w:ascii="Times New Roman" w:hAnsi="Times New Roman" w:cs="Times New Roman"/>
                <w:sz w:val="28"/>
                <w:szCs w:val="28"/>
              </w:rPr>
              <w:t>наступного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змісту:</w:t>
            </w:r>
          </w:p>
          <w:p w:rsidR="00A60E9E" w:rsidRDefault="004B2EFB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EF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Внески на фінансування діяльності установи фінансового омбудсмена (початкові та періодичні) використовуються виключно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для</w:t>
            </w:r>
            <w:r w:rsidRPr="004B2EF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здійснення альтернативного врегулювання спорів між споживачами та надавачами фінансових послуг та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для</w:t>
            </w:r>
            <w:r w:rsidRPr="004B2EF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виплат працівникам, уповноваженим особам, членам наглядової ради і фінансовому омбудсмену.</w:t>
            </w:r>
          </w:p>
          <w:p w:rsidR="00E5118B" w:rsidRDefault="004B2EFB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Максимальний розмір виплат встановлюється на рівні 10 середніх заробітних плат</w:t>
            </w:r>
            <w:r w:rsid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 розмір яких визначений</w:t>
            </w:r>
            <w:r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Державною службою статистики </w:t>
            </w:r>
            <w:r w:rsid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для</w:t>
            </w:r>
            <w:r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r w:rsidR="00E5118B"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фінансової діяльності</w:t>
            </w:r>
            <w:r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</w:t>
            </w:r>
          </w:p>
          <w:p w:rsidR="00824E88" w:rsidRDefault="00E5118B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18B">
              <w:rPr>
                <w:rFonts w:ascii="Times New Roman" w:hAnsi="Times New Roman" w:cs="Times New Roman"/>
                <w:sz w:val="28"/>
                <w:szCs w:val="28"/>
              </w:rPr>
              <w:t>3. … Розмір початкових внесків на фінансування діяльності установи фінансового омбудсмена протягом першого року діяльності установи фінансового омбудсмена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у розрахунку на один рік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на одного надавача фінансових послуг</w:t>
            </w:r>
            <w:r w:rsidRPr="00E5118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не має перевищувати розміру мінімальної заробітної плати, встановленого законом на 1 січня календарного року, в якому цей внесок сплачується.</w:t>
            </w:r>
          </w:p>
          <w:p w:rsidR="00824E88" w:rsidRDefault="00824E88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88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Установа фінансового омбудсмена формує розмір сплати періодичних внесків у пропорційному співвідношенні до кількості скарг, поданих споживачами фінансових послуг на відповідну категорію надавачів фінансових послуг або на певного надавача фінансових послуг протягом певного періоду часу.</w:t>
            </w:r>
          </w:p>
        </w:tc>
      </w:tr>
      <w:tr w:rsidR="00824E88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88" w:rsidRPr="00824E88" w:rsidRDefault="00824E88" w:rsidP="007A1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E88">
              <w:rPr>
                <w:rFonts w:ascii="Times New Roman" w:hAnsi="Times New Roman" w:cs="Times New Roman"/>
                <w:b/>
                <w:sz w:val="28"/>
                <w:szCs w:val="28"/>
              </w:rPr>
              <w:t>Стаття 14. Відповідальність</w:t>
            </w:r>
            <w:r w:rsidRPr="00824E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E88">
              <w:rPr>
                <w:rFonts w:ascii="Times New Roman" w:hAnsi="Times New Roman" w:cs="Times New Roman"/>
                <w:b/>
                <w:sz w:val="28"/>
                <w:szCs w:val="28"/>
              </w:rPr>
              <w:t>за несплату та несвоєчасну сплату внесків на фінансування діяльності установи фінансового омбудсмена</w:t>
            </w:r>
          </w:p>
        </w:tc>
      </w:tr>
      <w:tr w:rsidR="00824E88" w:rsidTr="007A136A">
        <w:tblPrEx>
          <w:tblLook w:val="0000" w:firstRow="0" w:lastRow="0" w:firstColumn="0" w:lastColumn="0" w:noHBand="0" w:noVBand="0"/>
        </w:tblPrEx>
        <w:trPr>
          <w:trHeight w:val="2508"/>
        </w:trPr>
        <w:tc>
          <w:tcPr>
            <w:tcW w:w="2640" w:type="pct"/>
            <w:gridSpan w:val="4"/>
          </w:tcPr>
          <w:p w:rsidR="00824E88" w:rsidRPr="00824E88" w:rsidRDefault="00824E88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Несплата надавачем фінансових послуг більше ніж двох періодичних внесків протягом трьох місяців є підставою для застосування заходів впливу органом, що здійснює регулювання відповідних ринків фінансових послуг, в тому числі для призупинення дії відповідної ліцензії надавача фінансових послуг.</w:t>
            </w:r>
          </w:p>
          <w:p w:rsidR="00824E88" w:rsidRDefault="00824E88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0" w:type="pct"/>
          </w:tcPr>
          <w:p w:rsidR="00B35156" w:rsidRDefault="00824E88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45B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1. У разі несплати надавачем фінансових послуг </w:t>
            </w:r>
            <w:r w:rsidR="00C445B3" w:rsidRPr="00C445B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періодичного внеску, установа фінансового омбудсмена надсилає письмове попередження надавачу фінансових послуг, яким встановлює додатковий строк для сплати періодичного внеску. </w:t>
            </w:r>
          </w:p>
          <w:p w:rsidR="00824E88" w:rsidRPr="00C445B3" w:rsidRDefault="00C445B3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45B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Такий строк не може перевищувати 15 календарних днів.</w:t>
            </w:r>
          </w:p>
          <w:p w:rsidR="00B35156" w:rsidRPr="00824E88" w:rsidRDefault="00C445B3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5B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2. Якщо надавач фінансових послуг не здійснив оплату періодичного внеску протягом додаткового строку, установа фінансового омбудсмена вирішує питання стягнення періодичного внеску з надавача фінансових послуг в судовому порядку.</w:t>
            </w:r>
          </w:p>
        </w:tc>
      </w:tr>
      <w:tr w:rsidR="00B35156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33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56" w:rsidRPr="00B35156" w:rsidRDefault="00B35156" w:rsidP="007A1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Стаття 15. Публікація звітів та </w:t>
            </w:r>
            <w:r w:rsidRPr="00B351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перевірка фінансово-господарської діяльності </w:t>
            </w:r>
            <w:r w:rsidRPr="00B35156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установи фінансового омбудсмена</w:t>
            </w:r>
          </w:p>
        </w:tc>
      </w:tr>
      <w:tr w:rsidR="00B35156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189"/>
        </w:trPr>
        <w:tc>
          <w:tcPr>
            <w:tcW w:w="25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56" w:rsidRPr="00B35156" w:rsidRDefault="00B35156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5156">
              <w:rPr>
                <w:rFonts w:ascii="Times New Roman" w:hAnsi="Times New Roman" w:cs="Times New Roman"/>
                <w:sz w:val="28"/>
                <w:szCs w:val="28"/>
              </w:rPr>
              <w:t>2. Установа фінансового омбудсмена узагальнює практику вирішення спорів між споживачами та надавачами фінансових послуг та оприлюднює не рідше, ніж раз на рік, звіти із зазначених у частині першій цієї статті питань, за умови знеособлення даних про споживачів фінансових послуг, які зверталися до установи фінансового омбудсмена, та надавачів фінансових послуг, яких стосувалися ці звернення.</w:t>
            </w:r>
          </w:p>
          <w:p w:rsidR="00B35156" w:rsidRDefault="00B35156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56" w:rsidRPr="00B35156" w:rsidRDefault="00B35156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5156">
              <w:rPr>
                <w:rFonts w:ascii="Times New Roman" w:hAnsi="Times New Roman" w:cs="Times New Roman"/>
                <w:sz w:val="28"/>
                <w:szCs w:val="28"/>
              </w:rPr>
              <w:t>2. Установа фінансового омбудсмена узагальнює практику вирішення спорів між споживачами та надавачами фінансових послуг</w:t>
            </w:r>
            <w:r w:rsidR="005E7B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3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7B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та оприлюднює її</w:t>
            </w:r>
            <w:r w:rsidR="005E7B8F" w:rsidRPr="005E7B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на</w:t>
            </w:r>
            <w:r w:rsidRPr="005E7B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офіційній сторінці установи фінансового омбудсмена в мережі Інтернет, не </w:t>
            </w:r>
            <w:r w:rsidR="005E7B8F" w:rsidRPr="005E7B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рідше</w:t>
            </w:r>
            <w:r w:rsidRPr="005E7B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ніж раз на квартал,</w:t>
            </w:r>
            <w:r w:rsidRPr="00B35156">
              <w:rPr>
                <w:rFonts w:ascii="Times New Roman" w:hAnsi="Times New Roman" w:cs="Times New Roman"/>
                <w:sz w:val="28"/>
                <w:szCs w:val="28"/>
              </w:rPr>
              <w:t xml:space="preserve"> звіти із зазначених у частині першій цієї статті питань, за умови знеособлення даних про споживачів фінансових послуг, які зверталися до установи фінансового омбудсмена, та надавачів фінансових послуг, яких стосувалися ці звернення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351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5156" w:rsidRDefault="00B35156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7B8F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B8F" w:rsidRPr="005E7B8F" w:rsidRDefault="005E7B8F" w:rsidP="007A1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B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17. Право на</w:t>
            </w:r>
            <w:r w:rsidRPr="005E7B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звернення </w:t>
            </w:r>
            <w:r w:rsidRPr="005E7B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 установи фінансового омбудсмена</w:t>
            </w:r>
          </w:p>
        </w:tc>
      </w:tr>
      <w:tr w:rsidR="005E7B8F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229"/>
        </w:trPr>
        <w:tc>
          <w:tcPr>
            <w:tcW w:w="254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B8F" w:rsidRPr="005E7B8F" w:rsidRDefault="005E7B8F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B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Розгляд спору є поза межами компетенції установи фінансового омбудсмена у разі якщо:</w:t>
            </w:r>
          </w:p>
          <w:p w:rsidR="005E7B8F" w:rsidRPr="005E7B8F" w:rsidRDefault="005E7B8F" w:rsidP="007A136A">
            <w:pPr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5E7B8F" w:rsidRPr="005E7B8F" w:rsidRDefault="005E7B8F" w:rsidP="007A136A">
            <w:pPr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B8F">
              <w:rPr>
                <w:rFonts w:ascii="Times New Roman" w:hAnsi="Times New Roman" w:cs="Times New Roman"/>
                <w:sz w:val="28"/>
                <w:szCs w:val="28"/>
              </w:rPr>
              <w:t>сума спору перевищує сто розмірів мінімальної заробітної плати на день звернення до установи фінансового омбудсмена;</w:t>
            </w:r>
          </w:p>
          <w:p w:rsidR="005E7B8F" w:rsidRDefault="005E7B8F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B8F" w:rsidRPr="005E7B8F" w:rsidRDefault="005E7B8F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B8F">
              <w:rPr>
                <w:rFonts w:ascii="Times New Roman" w:hAnsi="Times New Roman" w:cs="Times New Roman"/>
                <w:sz w:val="28"/>
                <w:szCs w:val="28"/>
              </w:rPr>
              <w:t>5. Розгляд спору є поза межами компетенції установи фінансового омбудсмена у разі якщо:</w:t>
            </w:r>
          </w:p>
          <w:p w:rsidR="005E7B8F" w:rsidRPr="005E7B8F" w:rsidRDefault="005E7B8F" w:rsidP="007A136A">
            <w:pPr>
              <w:numPr>
                <w:ilvl w:val="1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5E7B8F" w:rsidRPr="005E7B8F" w:rsidRDefault="005E7B8F" w:rsidP="007A136A">
            <w:pPr>
              <w:numPr>
                <w:ilvl w:val="1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B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сума спору перевищує п’ятдесят розмірів мінімальної заробітної плати</w:t>
            </w:r>
            <w:r w:rsidRPr="005E7B8F">
              <w:rPr>
                <w:rFonts w:ascii="Times New Roman" w:hAnsi="Times New Roman" w:cs="Times New Roman"/>
                <w:sz w:val="28"/>
                <w:szCs w:val="28"/>
              </w:rPr>
              <w:t xml:space="preserve"> на день звернення до установи фінансового омбудсмена;</w:t>
            </w:r>
          </w:p>
        </w:tc>
      </w:tr>
      <w:tr w:rsidR="007A136A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6A" w:rsidRPr="007A136A" w:rsidRDefault="007A136A" w:rsidP="007A13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7A13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18. Розгляд звернень споживачів установою фінансового омбудсмена</w:t>
            </w:r>
          </w:p>
        </w:tc>
      </w:tr>
      <w:tr w:rsidR="007A136A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257"/>
        </w:trPr>
        <w:tc>
          <w:tcPr>
            <w:tcW w:w="255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6A" w:rsidRPr="007A136A" w:rsidRDefault="007A136A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… </w:t>
            </w:r>
            <w:r w:rsidRPr="007A136A">
              <w:rPr>
                <w:rFonts w:ascii="Times New Roman" w:hAnsi="Times New Roman" w:cs="Times New Roman"/>
                <w:sz w:val="28"/>
                <w:szCs w:val="28"/>
              </w:rPr>
              <w:t>Звернення споживача фінансових послуг складається у довільній формі, в паперовому або в електронному вигляді (через офіційну сторінку установи фінансового омбудсмена в мережі Інтернет), має містити інформацію, що дозволяє встановити особу споживача та надавача фінансових послуг, а також обставини справи, що спричинили таке звернення.</w:t>
            </w:r>
          </w:p>
          <w:p w:rsidR="007A136A" w:rsidRDefault="007A136A" w:rsidP="007A13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6A" w:rsidRDefault="007A136A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… </w:t>
            </w:r>
            <w:r w:rsidRPr="007A136A">
              <w:rPr>
                <w:rFonts w:ascii="Times New Roman" w:hAnsi="Times New Roman" w:cs="Times New Roman"/>
                <w:sz w:val="28"/>
                <w:szCs w:val="28"/>
              </w:rPr>
              <w:t xml:space="preserve">Звернення споживача фінансових послуг складається у довільній формі, в паперовому або в електронному вигляді (через офіційну сторінку установи фінансового омбудсмена в мережі Інтернет), має містити інформацію, що дозволяє встановити особу споживача та надавача фінансових послуг, обставини справи, що спричинили таке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звернення </w:t>
            </w:r>
            <w:r w:rsidRPr="007A13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та підтвердження попереднього звернення до надавача фінансових послуг та її відповідь (за наявності).</w:t>
            </w:r>
          </w:p>
        </w:tc>
      </w:tr>
      <w:tr w:rsidR="007A136A" w:rsidRPr="007A136A" w:rsidTr="00C017F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6A" w:rsidRPr="007A136A" w:rsidRDefault="007A136A" w:rsidP="007A13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A13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Стаття </w:t>
            </w:r>
            <w:r w:rsidRPr="007A13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19</w:t>
            </w:r>
            <w:r w:rsidRPr="007A13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Порядок подання споживачем фінансових послуг заяви про розгляд спору до установи фінансового омбудсмена</w:t>
            </w:r>
          </w:p>
        </w:tc>
      </w:tr>
      <w:tr w:rsidR="007A136A" w:rsidTr="007A13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545"/>
        </w:trPr>
        <w:tc>
          <w:tcPr>
            <w:tcW w:w="255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6A" w:rsidRDefault="007A136A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36A" w:rsidRDefault="007A136A" w:rsidP="007A13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6A" w:rsidRDefault="007A136A" w:rsidP="00484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4. Підтвердженням попереднього звернення до надавача фінансових послуг та її відповідь (за наявності) </w:t>
            </w:r>
            <w:r w:rsidR="0048465B" w:rsidRPr="00484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подається споживачем фінансових послуг в письмовій формі у паперовому вигляді (поштою чи особисто) або в електронному вигляді.</w:t>
            </w:r>
          </w:p>
        </w:tc>
      </w:tr>
    </w:tbl>
    <w:p w:rsidR="005E7B8F" w:rsidRDefault="005E7B8F">
      <w:pPr>
        <w:rPr>
          <w:rFonts w:ascii="Times New Roman" w:hAnsi="Times New Roman" w:cs="Times New Roman"/>
          <w:sz w:val="28"/>
          <w:szCs w:val="28"/>
        </w:rPr>
      </w:pPr>
    </w:p>
    <w:p w:rsidR="00704BDE" w:rsidRPr="008814D3" w:rsidRDefault="00704BDE">
      <w:pPr>
        <w:rPr>
          <w:rFonts w:ascii="Times New Roman" w:hAnsi="Times New Roman" w:cs="Times New Roman"/>
          <w:sz w:val="28"/>
          <w:szCs w:val="28"/>
        </w:rPr>
      </w:pPr>
    </w:p>
    <w:sectPr w:rsidR="00704BDE" w:rsidRPr="008814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91A"/>
    <w:multiLevelType w:val="hybridMultilevel"/>
    <w:tmpl w:val="11DCA5B4"/>
    <w:lvl w:ilvl="0" w:tplc="0409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179B3AE1"/>
    <w:multiLevelType w:val="hybridMultilevel"/>
    <w:tmpl w:val="C5085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61E43"/>
    <w:multiLevelType w:val="multilevel"/>
    <w:tmpl w:val="0C3EEF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D7B7713"/>
    <w:multiLevelType w:val="hybridMultilevel"/>
    <w:tmpl w:val="4888DD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54AC2"/>
    <w:multiLevelType w:val="multilevel"/>
    <w:tmpl w:val="0C3EEF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3C264703"/>
    <w:multiLevelType w:val="hybridMultilevel"/>
    <w:tmpl w:val="EAAE9C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C0B5C"/>
    <w:multiLevelType w:val="hybridMultilevel"/>
    <w:tmpl w:val="450A056C"/>
    <w:lvl w:ilvl="0" w:tplc="FAAA0370">
      <w:numFmt w:val="bullet"/>
      <w:lvlText w:val="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2C54063"/>
    <w:multiLevelType w:val="hybridMultilevel"/>
    <w:tmpl w:val="11DCA5B4"/>
    <w:lvl w:ilvl="0" w:tplc="0409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 w15:restartNumberingAfterBreak="0">
    <w:nsid w:val="697E5E5E"/>
    <w:multiLevelType w:val="hybridMultilevel"/>
    <w:tmpl w:val="E4401A0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8163378"/>
    <w:multiLevelType w:val="hybridMultilevel"/>
    <w:tmpl w:val="708ACD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F6"/>
    <w:rsid w:val="0048465B"/>
    <w:rsid w:val="004B2EFB"/>
    <w:rsid w:val="005E7B8F"/>
    <w:rsid w:val="00704BDE"/>
    <w:rsid w:val="007A136A"/>
    <w:rsid w:val="00807C4F"/>
    <w:rsid w:val="00824E88"/>
    <w:rsid w:val="008814D3"/>
    <w:rsid w:val="00A60E9E"/>
    <w:rsid w:val="00AA1CA5"/>
    <w:rsid w:val="00B35156"/>
    <w:rsid w:val="00C445B3"/>
    <w:rsid w:val="00C90DF6"/>
    <w:rsid w:val="00E5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61DC1"/>
  <w15:chartTrackingRefBased/>
  <w15:docId w15:val="{F1552851-8D0B-465F-B591-D3961165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4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4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46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Савченко</dc:creator>
  <cp:keywords/>
  <dc:description/>
  <cp:lastModifiedBy>Довбыш Дмитрий</cp:lastModifiedBy>
  <cp:revision>2</cp:revision>
  <cp:lastPrinted>2018-04-12T11:54:00Z</cp:lastPrinted>
  <dcterms:created xsi:type="dcterms:W3CDTF">2018-04-13T12:59:00Z</dcterms:created>
  <dcterms:modified xsi:type="dcterms:W3CDTF">2018-04-13T12:59:00Z</dcterms:modified>
</cp:coreProperties>
</file>