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998" w:rsidRDefault="001F5B7D" w:rsidP="001F5B7D">
      <w:pPr>
        <w:spacing w:after="0" w:line="240" w:lineRule="auto"/>
        <w:ind w:firstLine="708"/>
        <w:jc w:val="center"/>
        <w:rPr>
          <w:rFonts w:ascii="Times New Roman" w:hAnsi="Times New Roman" w:cs="Times New Roman"/>
          <w:color w:val="000000" w:themeColor="text1"/>
          <w:sz w:val="24"/>
          <w:szCs w:val="24"/>
        </w:rPr>
      </w:pPr>
      <w:r w:rsidRPr="006E20E9">
        <w:rPr>
          <w:noProof/>
          <w:sz w:val="24"/>
          <w:szCs w:val="24"/>
          <w:lang w:val="ru-RU" w:eastAsia="ru-RU"/>
        </w:rPr>
        <w:drawing>
          <wp:inline distT="0" distB="0" distL="0" distR="0">
            <wp:extent cx="2238375" cy="66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8375" cy="666750"/>
                    </a:xfrm>
                    <a:prstGeom prst="rect">
                      <a:avLst/>
                    </a:prstGeom>
                    <a:noFill/>
                    <a:ln>
                      <a:noFill/>
                    </a:ln>
                  </pic:spPr>
                </pic:pic>
              </a:graphicData>
            </a:graphic>
          </wp:inline>
        </w:drawing>
      </w:r>
    </w:p>
    <w:p w:rsidR="001F5B7D" w:rsidRDefault="001F5B7D" w:rsidP="001F5B7D">
      <w:pPr>
        <w:spacing w:after="0" w:line="240" w:lineRule="auto"/>
        <w:ind w:firstLine="708"/>
        <w:jc w:val="center"/>
        <w:rPr>
          <w:rFonts w:ascii="Times New Roman" w:hAnsi="Times New Roman" w:cs="Times New Roman"/>
          <w:color w:val="000000" w:themeColor="text1"/>
          <w:sz w:val="24"/>
          <w:szCs w:val="24"/>
        </w:rPr>
      </w:pPr>
    </w:p>
    <w:p w:rsidR="00EE1998" w:rsidRPr="008F7BDB" w:rsidRDefault="00EE1998" w:rsidP="00EE1998">
      <w:pPr>
        <w:spacing w:after="0" w:line="240" w:lineRule="auto"/>
        <w:jc w:val="center"/>
        <w:rPr>
          <w:rFonts w:ascii="Times New Roman" w:hAnsi="Times New Roman" w:cs="Times New Roman"/>
          <w:b/>
          <w:color w:val="000000" w:themeColor="text1"/>
          <w:sz w:val="24"/>
          <w:szCs w:val="24"/>
          <w:u w:val="single"/>
        </w:rPr>
      </w:pPr>
      <w:r w:rsidRPr="008F7BDB">
        <w:rPr>
          <w:rFonts w:ascii="Times New Roman" w:hAnsi="Times New Roman" w:cs="Times New Roman"/>
          <w:b/>
          <w:color w:val="000000" w:themeColor="text1"/>
          <w:sz w:val="24"/>
          <w:szCs w:val="24"/>
          <w:u w:val="single"/>
        </w:rPr>
        <w:t>Огляд судової практики Верховного суду з корпоративних спорів</w:t>
      </w:r>
    </w:p>
    <w:p w:rsidR="00474EBD" w:rsidRPr="00E81790" w:rsidRDefault="00474EBD" w:rsidP="004665BB">
      <w:pPr>
        <w:spacing w:after="0" w:line="240" w:lineRule="auto"/>
        <w:jc w:val="both"/>
        <w:rPr>
          <w:rFonts w:ascii="Times New Roman" w:hAnsi="Times New Roman" w:cs="Times New Roman"/>
          <w:color w:val="000000" w:themeColor="text1"/>
          <w:sz w:val="24"/>
          <w:szCs w:val="24"/>
        </w:rPr>
      </w:pPr>
    </w:p>
    <w:p w:rsidR="00B96F25" w:rsidRPr="00C35F9B" w:rsidRDefault="0080056D" w:rsidP="00C35F9B">
      <w:pPr>
        <w:pStyle w:val="a5"/>
        <w:numPr>
          <w:ilvl w:val="0"/>
          <w:numId w:val="1"/>
        </w:numPr>
        <w:spacing w:after="0" w:line="240" w:lineRule="auto"/>
        <w:jc w:val="both"/>
        <w:rPr>
          <w:rFonts w:ascii="Times New Roman" w:eastAsia="Times New Roman" w:hAnsi="Times New Roman" w:cs="Times New Roman"/>
          <w:b/>
          <w:color w:val="000000" w:themeColor="text1"/>
          <w:sz w:val="24"/>
          <w:szCs w:val="24"/>
          <w:lang w:eastAsia="uk-UA"/>
        </w:rPr>
      </w:pPr>
      <w:r w:rsidRPr="00C35F9B">
        <w:rPr>
          <w:rFonts w:ascii="Times New Roman" w:eastAsia="Times New Roman" w:hAnsi="Times New Roman" w:cs="Times New Roman"/>
          <w:b/>
          <w:color w:val="000000" w:themeColor="text1"/>
          <w:sz w:val="24"/>
          <w:szCs w:val="24"/>
          <w:lang w:eastAsia="uk-UA"/>
        </w:rPr>
        <w:t xml:space="preserve">Щодо </w:t>
      </w:r>
      <w:r w:rsidR="0064591A" w:rsidRPr="00C35F9B">
        <w:rPr>
          <w:rFonts w:ascii="Times New Roman" w:eastAsia="Times New Roman" w:hAnsi="Times New Roman" w:cs="Times New Roman"/>
          <w:b/>
          <w:color w:val="000000" w:themeColor="text1"/>
          <w:sz w:val="24"/>
          <w:szCs w:val="24"/>
          <w:lang w:eastAsia="uk-UA"/>
        </w:rPr>
        <w:t>з</w:t>
      </w:r>
      <w:r w:rsidR="00B96F25" w:rsidRPr="00C35F9B">
        <w:rPr>
          <w:rFonts w:ascii="Times New Roman" w:eastAsia="Times New Roman" w:hAnsi="Times New Roman" w:cs="Times New Roman"/>
          <w:b/>
          <w:color w:val="000000" w:themeColor="text1"/>
          <w:sz w:val="24"/>
          <w:szCs w:val="24"/>
          <w:lang w:eastAsia="uk-UA"/>
        </w:rPr>
        <w:t xml:space="preserve">абезпечення позову </w:t>
      </w:r>
      <w:r w:rsidR="009F4A34" w:rsidRPr="00C35F9B">
        <w:rPr>
          <w:rFonts w:ascii="Times New Roman" w:eastAsia="Times New Roman" w:hAnsi="Times New Roman" w:cs="Times New Roman"/>
          <w:b/>
          <w:color w:val="000000" w:themeColor="text1"/>
          <w:sz w:val="24"/>
          <w:szCs w:val="24"/>
          <w:lang w:eastAsia="uk-UA"/>
        </w:rPr>
        <w:t xml:space="preserve">до моменту подання позову </w:t>
      </w:r>
      <w:r w:rsidR="00B96F25" w:rsidRPr="00C35F9B">
        <w:rPr>
          <w:rFonts w:ascii="Times New Roman" w:eastAsia="Times New Roman" w:hAnsi="Times New Roman" w:cs="Times New Roman"/>
          <w:b/>
          <w:color w:val="000000" w:themeColor="text1"/>
          <w:sz w:val="24"/>
          <w:szCs w:val="24"/>
          <w:lang w:eastAsia="uk-UA"/>
        </w:rPr>
        <w:t xml:space="preserve">при </w:t>
      </w:r>
      <w:r w:rsidR="00DD7B85" w:rsidRPr="00C35F9B">
        <w:rPr>
          <w:rFonts w:ascii="Times New Roman" w:eastAsia="Times New Roman" w:hAnsi="Times New Roman" w:cs="Times New Roman"/>
          <w:b/>
          <w:color w:val="000000" w:themeColor="text1"/>
          <w:sz w:val="24"/>
          <w:szCs w:val="24"/>
          <w:lang w:eastAsia="uk-UA"/>
        </w:rPr>
        <w:t xml:space="preserve">оскарженні рішення </w:t>
      </w:r>
      <w:r w:rsidR="009F4A34" w:rsidRPr="00C35F9B">
        <w:rPr>
          <w:rFonts w:ascii="Times New Roman" w:eastAsia="Times New Roman" w:hAnsi="Times New Roman" w:cs="Times New Roman"/>
          <w:b/>
          <w:color w:val="000000" w:themeColor="text1"/>
          <w:sz w:val="24"/>
          <w:szCs w:val="24"/>
          <w:lang w:eastAsia="uk-UA"/>
        </w:rPr>
        <w:t xml:space="preserve">по </w:t>
      </w:r>
      <w:r w:rsidR="00B96F25" w:rsidRPr="00C35F9B">
        <w:rPr>
          <w:rFonts w:ascii="Times New Roman" w:eastAsia="Times New Roman" w:hAnsi="Times New Roman" w:cs="Times New Roman"/>
          <w:b/>
          <w:color w:val="000000" w:themeColor="text1"/>
          <w:sz w:val="24"/>
          <w:szCs w:val="24"/>
          <w:lang w:eastAsia="uk-UA"/>
        </w:rPr>
        <w:t xml:space="preserve">реалізації процедури </w:t>
      </w:r>
      <w:r w:rsidR="00474EBD" w:rsidRPr="00C35F9B">
        <w:rPr>
          <w:rFonts w:ascii="Times New Roman" w:eastAsia="Times New Roman" w:hAnsi="Times New Roman" w:cs="Times New Roman"/>
          <w:b/>
          <w:color w:val="000000" w:themeColor="text1"/>
          <w:sz w:val="24"/>
          <w:szCs w:val="24"/>
          <w:lang w:eastAsia="uk-UA"/>
        </w:rPr>
        <w:t>«</w:t>
      </w:r>
      <w:proofErr w:type="spellStart"/>
      <w:r w:rsidR="00B96F25" w:rsidRPr="00C35F9B">
        <w:rPr>
          <w:rFonts w:ascii="Times New Roman" w:eastAsia="Times New Roman" w:hAnsi="Times New Roman" w:cs="Times New Roman"/>
          <w:b/>
          <w:color w:val="000000" w:themeColor="text1"/>
          <w:sz w:val="24"/>
          <w:szCs w:val="24"/>
          <w:lang w:eastAsia="uk-UA"/>
        </w:rPr>
        <w:t>сквіз</w:t>
      </w:r>
      <w:proofErr w:type="spellEnd"/>
      <w:r w:rsidR="00B96F25" w:rsidRPr="00C35F9B">
        <w:rPr>
          <w:rFonts w:ascii="Times New Roman" w:eastAsia="Times New Roman" w:hAnsi="Times New Roman" w:cs="Times New Roman"/>
          <w:b/>
          <w:color w:val="000000" w:themeColor="text1"/>
          <w:sz w:val="24"/>
          <w:szCs w:val="24"/>
          <w:lang w:eastAsia="uk-UA"/>
        </w:rPr>
        <w:t xml:space="preserve"> </w:t>
      </w:r>
      <w:r w:rsidR="0064591A" w:rsidRPr="00C35F9B">
        <w:rPr>
          <w:rFonts w:ascii="Times New Roman" w:eastAsia="Times New Roman" w:hAnsi="Times New Roman" w:cs="Times New Roman"/>
          <w:b/>
          <w:color w:val="000000" w:themeColor="text1"/>
          <w:sz w:val="24"/>
          <w:szCs w:val="24"/>
          <w:lang w:eastAsia="uk-UA"/>
        </w:rPr>
        <w:t>аут</w:t>
      </w:r>
      <w:r w:rsidR="00474EBD" w:rsidRPr="00C35F9B">
        <w:rPr>
          <w:rFonts w:ascii="Times New Roman" w:eastAsia="Times New Roman" w:hAnsi="Times New Roman" w:cs="Times New Roman"/>
          <w:b/>
          <w:color w:val="000000" w:themeColor="text1"/>
          <w:sz w:val="24"/>
          <w:szCs w:val="24"/>
          <w:lang w:eastAsia="uk-UA"/>
        </w:rPr>
        <w:t>у»</w:t>
      </w:r>
      <w:r w:rsidR="0064591A" w:rsidRPr="00C35F9B">
        <w:rPr>
          <w:rFonts w:ascii="Times New Roman" w:eastAsia="Times New Roman" w:hAnsi="Times New Roman" w:cs="Times New Roman"/>
          <w:b/>
          <w:color w:val="000000" w:themeColor="text1"/>
          <w:sz w:val="24"/>
          <w:szCs w:val="24"/>
          <w:lang w:eastAsia="uk-UA"/>
        </w:rPr>
        <w:t xml:space="preserve"> передбаченої ст. 65</w:t>
      </w:r>
      <w:r w:rsidR="00454F1F">
        <w:rPr>
          <w:rFonts w:ascii="Times New Roman" w:eastAsia="Times New Roman" w:hAnsi="Times New Roman" w:cs="Times New Roman"/>
          <w:b/>
          <w:color w:val="000000" w:themeColor="text1"/>
          <w:sz w:val="24"/>
          <w:szCs w:val="24"/>
          <w:lang w:eastAsia="uk-UA"/>
        </w:rPr>
        <w:t>-2</w:t>
      </w:r>
      <w:r w:rsidR="0064591A" w:rsidRPr="00C35F9B">
        <w:rPr>
          <w:rFonts w:ascii="Times New Roman" w:eastAsia="Times New Roman" w:hAnsi="Times New Roman" w:cs="Times New Roman"/>
          <w:b/>
          <w:color w:val="000000" w:themeColor="text1"/>
          <w:sz w:val="24"/>
          <w:szCs w:val="24"/>
          <w:lang w:eastAsia="uk-UA"/>
        </w:rPr>
        <w:t xml:space="preserve"> ЗУ </w:t>
      </w:r>
      <w:r w:rsidR="00E06E83" w:rsidRPr="00C35F9B">
        <w:rPr>
          <w:rFonts w:ascii="Times New Roman" w:eastAsia="Times New Roman" w:hAnsi="Times New Roman" w:cs="Times New Roman"/>
          <w:b/>
          <w:color w:val="000000" w:themeColor="text1"/>
          <w:sz w:val="24"/>
          <w:szCs w:val="24"/>
          <w:lang w:eastAsia="uk-UA"/>
        </w:rPr>
        <w:t>«</w:t>
      </w:r>
      <w:r w:rsidR="0064591A" w:rsidRPr="00C35F9B">
        <w:rPr>
          <w:rFonts w:ascii="Times New Roman" w:eastAsia="Times New Roman" w:hAnsi="Times New Roman" w:cs="Times New Roman"/>
          <w:b/>
          <w:color w:val="000000" w:themeColor="text1"/>
          <w:sz w:val="24"/>
          <w:szCs w:val="24"/>
          <w:lang w:eastAsia="uk-UA"/>
        </w:rPr>
        <w:t>Про акціонерні т</w:t>
      </w:r>
      <w:r w:rsidR="00B96F25" w:rsidRPr="00C35F9B">
        <w:rPr>
          <w:rFonts w:ascii="Times New Roman" w:eastAsia="Times New Roman" w:hAnsi="Times New Roman" w:cs="Times New Roman"/>
          <w:b/>
          <w:color w:val="000000" w:themeColor="text1"/>
          <w:sz w:val="24"/>
          <w:szCs w:val="24"/>
          <w:lang w:eastAsia="uk-UA"/>
        </w:rPr>
        <w:t>овариства</w:t>
      </w:r>
      <w:r w:rsidR="00E06E83" w:rsidRPr="00C35F9B">
        <w:rPr>
          <w:rFonts w:ascii="Times New Roman" w:eastAsia="Times New Roman" w:hAnsi="Times New Roman" w:cs="Times New Roman"/>
          <w:b/>
          <w:color w:val="000000" w:themeColor="text1"/>
          <w:sz w:val="24"/>
          <w:szCs w:val="24"/>
          <w:lang w:eastAsia="uk-UA"/>
        </w:rPr>
        <w:t>»</w:t>
      </w:r>
      <w:r w:rsidR="0064591A" w:rsidRPr="00C35F9B">
        <w:rPr>
          <w:rFonts w:ascii="Times New Roman" w:eastAsia="Times New Roman" w:hAnsi="Times New Roman" w:cs="Times New Roman"/>
          <w:b/>
          <w:color w:val="000000" w:themeColor="text1"/>
          <w:sz w:val="24"/>
          <w:szCs w:val="24"/>
          <w:lang w:eastAsia="uk-UA"/>
        </w:rPr>
        <w:t>.</w:t>
      </w:r>
    </w:p>
    <w:p w:rsidR="00E06E83" w:rsidRPr="00E81790" w:rsidRDefault="00E06E83" w:rsidP="004665BB">
      <w:pPr>
        <w:spacing w:after="0" w:line="240" w:lineRule="auto"/>
        <w:ind w:firstLine="708"/>
        <w:jc w:val="both"/>
        <w:rPr>
          <w:rFonts w:ascii="Times New Roman" w:eastAsia="Times New Roman" w:hAnsi="Times New Roman" w:cs="Times New Roman"/>
          <w:b/>
          <w:color w:val="000000" w:themeColor="text1"/>
          <w:sz w:val="24"/>
          <w:szCs w:val="24"/>
          <w:lang w:eastAsia="uk-UA"/>
        </w:rPr>
      </w:pPr>
    </w:p>
    <w:p w:rsidR="0083777D" w:rsidRPr="00E81790" w:rsidRDefault="00F010CA"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eastAsia="Times New Roman" w:hAnsi="Times New Roman" w:cs="Times New Roman"/>
          <w:color w:val="000000" w:themeColor="text1"/>
          <w:sz w:val="24"/>
          <w:szCs w:val="24"/>
          <w:lang w:eastAsia="uk-UA"/>
        </w:rPr>
        <w:t xml:space="preserve">Верховним судом розглянута справа </w:t>
      </w:r>
      <w:r w:rsidR="0083777D" w:rsidRPr="00E81790">
        <w:rPr>
          <w:rFonts w:ascii="Times New Roman" w:hAnsi="Times New Roman" w:cs="Times New Roman"/>
          <w:color w:val="000000" w:themeColor="text1"/>
          <w:sz w:val="24"/>
          <w:szCs w:val="24"/>
        </w:rPr>
        <w:t xml:space="preserve">№914/228/18 </w:t>
      </w:r>
      <w:r w:rsidR="0083777D" w:rsidRPr="00E81790">
        <w:rPr>
          <w:rFonts w:ascii="Times New Roman" w:eastAsia="Times New Roman" w:hAnsi="Times New Roman" w:cs="Times New Roman"/>
          <w:color w:val="000000" w:themeColor="text1"/>
          <w:sz w:val="24"/>
          <w:szCs w:val="24"/>
          <w:lang w:eastAsia="uk-UA"/>
        </w:rPr>
        <w:t>за наслідками розгляду заяви про забезпечення позову поданої до моменту подачі позовної заяви.</w:t>
      </w:r>
    </w:p>
    <w:p w:rsidR="0064591A" w:rsidRPr="003C262A" w:rsidRDefault="0064591A" w:rsidP="004665BB">
      <w:pPr>
        <w:spacing w:after="0" w:line="240" w:lineRule="auto"/>
        <w:ind w:firstLine="708"/>
        <w:jc w:val="both"/>
        <w:rPr>
          <w:rFonts w:ascii="Times New Roman" w:hAnsi="Times New Roman" w:cs="Times New Roman"/>
          <w:color w:val="000000" w:themeColor="text1"/>
          <w:sz w:val="24"/>
          <w:szCs w:val="24"/>
          <w:lang w:val="ru-RU"/>
        </w:rPr>
      </w:pPr>
      <w:r w:rsidRPr="00E81790">
        <w:rPr>
          <w:rFonts w:ascii="Times New Roman" w:hAnsi="Times New Roman" w:cs="Times New Roman"/>
          <w:color w:val="000000" w:themeColor="text1"/>
          <w:sz w:val="24"/>
          <w:szCs w:val="24"/>
        </w:rPr>
        <w:t>З</w:t>
      </w:r>
      <w:r w:rsidR="0083777D" w:rsidRPr="00E81790">
        <w:rPr>
          <w:rFonts w:ascii="Times New Roman" w:hAnsi="Times New Roman" w:cs="Times New Roman"/>
          <w:color w:val="000000" w:themeColor="text1"/>
          <w:sz w:val="24"/>
          <w:szCs w:val="24"/>
        </w:rPr>
        <w:t>окрема, з</w:t>
      </w:r>
      <w:r w:rsidRPr="00E81790">
        <w:rPr>
          <w:rFonts w:ascii="Times New Roman" w:hAnsi="Times New Roman" w:cs="Times New Roman"/>
          <w:color w:val="000000" w:themeColor="text1"/>
          <w:sz w:val="24"/>
          <w:szCs w:val="24"/>
        </w:rPr>
        <w:t xml:space="preserve">аявником було подано заяву про забезпечення позову щодо блокування проведення процедури </w:t>
      </w:r>
      <w:r w:rsidR="006D27B3">
        <w:rPr>
          <w:rFonts w:ascii="Times New Roman" w:hAnsi="Times New Roman" w:cs="Times New Roman"/>
          <w:color w:val="000000" w:themeColor="text1"/>
          <w:sz w:val="24"/>
          <w:szCs w:val="24"/>
          <w:lang w:val="ru-RU"/>
        </w:rPr>
        <w:t>«</w:t>
      </w:r>
      <w:proofErr w:type="spellStart"/>
      <w:r w:rsidRPr="00E81790">
        <w:rPr>
          <w:rFonts w:ascii="Times New Roman" w:hAnsi="Times New Roman" w:cs="Times New Roman"/>
          <w:color w:val="000000" w:themeColor="text1"/>
          <w:sz w:val="24"/>
          <w:szCs w:val="24"/>
        </w:rPr>
        <w:t>сквіз</w:t>
      </w:r>
      <w:proofErr w:type="spellEnd"/>
      <w:r w:rsidRPr="00E81790">
        <w:rPr>
          <w:rFonts w:ascii="Times New Roman" w:hAnsi="Times New Roman" w:cs="Times New Roman"/>
          <w:color w:val="000000" w:themeColor="text1"/>
          <w:sz w:val="24"/>
          <w:szCs w:val="24"/>
        </w:rPr>
        <w:t xml:space="preserve"> аут</w:t>
      </w:r>
      <w:r w:rsidR="006D27B3">
        <w:rPr>
          <w:rFonts w:ascii="Times New Roman" w:hAnsi="Times New Roman" w:cs="Times New Roman"/>
          <w:color w:val="000000" w:themeColor="text1"/>
          <w:sz w:val="24"/>
          <w:szCs w:val="24"/>
          <w:lang w:val="ru-RU"/>
        </w:rPr>
        <w:t>»</w:t>
      </w:r>
      <w:r w:rsidRPr="00E81790">
        <w:rPr>
          <w:rFonts w:ascii="Times New Roman" w:hAnsi="Times New Roman" w:cs="Times New Roman"/>
          <w:color w:val="000000" w:themeColor="text1"/>
          <w:sz w:val="24"/>
          <w:szCs w:val="24"/>
        </w:rPr>
        <w:t>: а саме:</w:t>
      </w:r>
    </w:p>
    <w:p w:rsidR="0064591A" w:rsidRPr="00E81790" w:rsidRDefault="009F4A34" w:rsidP="004665BB">
      <w:pPr>
        <w:spacing w:after="0" w:line="240" w:lineRule="auto"/>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 </w:t>
      </w:r>
      <w:r w:rsidR="0064591A" w:rsidRPr="00E81790">
        <w:rPr>
          <w:rFonts w:ascii="Times New Roman" w:hAnsi="Times New Roman" w:cs="Times New Roman"/>
          <w:color w:val="000000" w:themeColor="text1"/>
          <w:sz w:val="24"/>
          <w:szCs w:val="24"/>
        </w:rPr>
        <w:t>заборони емітенту розміщувати повідомлення про намір скористатися правами, передбаченими </w:t>
      </w:r>
      <w:hyperlink r:id="rId7" w:anchor="1820" w:tgtFrame="_blank" w:tooltip="Про акціонерні товариства; нормативно-правовий акт № 514-VI від 17.09.2008" w:history="1">
        <w:r w:rsidR="0064591A" w:rsidRPr="00E81790">
          <w:rPr>
            <w:rStyle w:val="a4"/>
            <w:rFonts w:ascii="Times New Roman" w:hAnsi="Times New Roman" w:cs="Times New Roman"/>
            <w:color w:val="000000" w:themeColor="text1"/>
            <w:sz w:val="24"/>
            <w:szCs w:val="24"/>
            <w:u w:val="none"/>
          </w:rPr>
          <w:t>статтею 65-2 Закону України "Про акціонерні товариства"</w:t>
        </w:r>
      </w:hyperlink>
      <w:r w:rsidR="0064591A" w:rsidRPr="00E81790">
        <w:rPr>
          <w:rFonts w:ascii="Times New Roman" w:hAnsi="Times New Roman" w:cs="Times New Roman"/>
          <w:color w:val="000000" w:themeColor="text1"/>
          <w:sz w:val="24"/>
          <w:szCs w:val="24"/>
        </w:rPr>
        <w:t>, та публічну безвідкличну вимогу про придбання акцій в усіх власників акцій на своєму веб-сайті та у загальнодоступній інформаційній базі даних Національної комісії з цінних паперів та фондового ринку відповідно до </w:t>
      </w:r>
      <w:hyperlink r:id="rId8" w:anchor="1820" w:tgtFrame="_blank" w:tooltip="Про акціонерні товариства; нормативно-правовий акт № 514-VI від 17.09.2008" w:history="1">
        <w:r w:rsidR="0064591A" w:rsidRPr="00E81790">
          <w:rPr>
            <w:rStyle w:val="a4"/>
            <w:rFonts w:ascii="Times New Roman" w:hAnsi="Times New Roman" w:cs="Times New Roman"/>
            <w:color w:val="000000" w:themeColor="text1"/>
            <w:sz w:val="24"/>
            <w:szCs w:val="24"/>
            <w:u w:val="none"/>
          </w:rPr>
          <w:t>ст. 65-2 Закону України "Про акціонерні товариства"</w:t>
        </w:r>
      </w:hyperlink>
      <w:r w:rsidR="0064591A" w:rsidRPr="00E81790">
        <w:rPr>
          <w:rFonts w:ascii="Times New Roman" w:hAnsi="Times New Roman" w:cs="Times New Roman"/>
          <w:color w:val="000000" w:themeColor="text1"/>
          <w:sz w:val="24"/>
          <w:szCs w:val="24"/>
        </w:rPr>
        <w:t>;</w:t>
      </w:r>
    </w:p>
    <w:p w:rsidR="0064591A" w:rsidRPr="00E81790" w:rsidRDefault="0064591A" w:rsidP="004665BB">
      <w:pPr>
        <w:spacing w:after="0" w:line="240" w:lineRule="auto"/>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заборони Національній комісії з цінних паперів та фондового ринку розміщувати, зберігати та поширювати у загальнодоступних інформаційних базах дан</w:t>
      </w:r>
      <w:bookmarkStart w:id="0" w:name="_GoBack"/>
      <w:bookmarkEnd w:id="0"/>
      <w:r w:rsidRPr="00E81790">
        <w:rPr>
          <w:rFonts w:ascii="Times New Roman" w:hAnsi="Times New Roman" w:cs="Times New Roman"/>
          <w:color w:val="000000" w:themeColor="text1"/>
          <w:sz w:val="24"/>
          <w:szCs w:val="24"/>
        </w:rPr>
        <w:t>их повідомлення про намір скористатися правами, передбаченими </w:t>
      </w:r>
      <w:hyperlink r:id="rId9" w:anchor="1820" w:tgtFrame="_blank" w:tooltip="Про акціонерні товариства; нормативно-правовий акт № 514-VI від 17.09.2008" w:history="1">
        <w:r w:rsidRPr="00E81790">
          <w:rPr>
            <w:rStyle w:val="a4"/>
            <w:rFonts w:ascii="Times New Roman" w:hAnsi="Times New Roman" w:cs="Times New Roman"/>
            <w:color w:val="000000" w:themeColor="text1"/>
            <w:sz w:val="24"/>
            <w:szCs w:val="24"/>
            <w:u w:val="none"/>
          </w:rPr>
          <w:t>статтею 65-2 Закону України "Про акціонерні товариства"</w:t>
        </w:r>
      </w:hyperlink>
      <w:r w:rsidRPr="00E81790">
        <w:rPr>
          <w:rFonts w:ascii="Times New Roman" w:hAnsi="Times New Roman" w:cs="Times New Roman"/>
          <w:color w:val="000000" w:themeColor="text1"/>
          <w:sz w:val="24"/>
          <w:szCs w:val="24"/>
        </w:rPr>
        <w:t>, та публічну безвідкличну вимогу про придбання акцій в усіх власників акцій товариства;</w:t>
      </w:r>
    </w:p>
    <w:p w:rsidR="0064591A" w:rsidRPr="00E81790" w:rsidRDefault="0064591A" w:rsidP="004665BB">
      <w:pPr>
        <w:spacing w:after="0" w:line="240" w:lineRule="auto"/>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заборони Публічному акціонерному товариству "Національний депозитарій України" розміщувати публічну безвідкличну вимогу про придбання акцій в усіх власників акцій товариства на своєму веб-сайті відповідно до </w:t>
      </w:r>
      <w:hyperlink r:id="rId10" w:anchor="1820" w:tgtFrame="_blank" w:tooltip="Про акціонерні товариства; нормативно-правовий акт № 514-VI від 17.09.2008" w:history="1">
        <w:r w:rsidRPr="00E81790">
          <w:rPr>
            <w:rStyle w:val="a4"/>
            <w:rFonts w:ascii="Times New Roman" w:hAnsi="Times New Roman" w:cs="Times New Roman"/>
            <w:color w:val="000000" w:themeColor="text1"/>
            <w:sz w:val="24"/>
            <w:szCs w:val="24"/>
            <w:u w:val="none"/>
          </w:rPr>
          <w:t>ст. 65-2 Закону України "Про акціонерні товариства"</w:t>
        </w:r>
      </w:hyperlink>
      <w:r w:rsidRPr="00E81790">
        <w:rPr>
          <w:rFonts w:ascii="Times New Roman" w:hAnsi="Times New Roman" w:cs="Times New Roman"/>
          <w:color w:val="000000" w:themeColor="text1"/>
          <w:sz w:val="24"/>
          <w:szCs w:val="24"/>
        </w:rPr>
        <w:t>;</w:t>
      </w:r>
    </w:p>
    <w:p w:rsidR="0064591A" w:rsidRPr="00E81790" w:rsidRDefault="0064591A" w:rsidP="004665BB">
      <w:pPr>
        <w:spacing w:after="0" w:line="240" w:lineRule="auto"/>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заборони Товариству, будь-якому його органу, включаючи наглядову раду, затверджувати ціну обов'язкового продажу емітованих ним акцій відповідно до </w:t>
      </w:r>
      <w:hyperlink r:id="rId11" w:anchor="1820" w:tgtFrame="_blank" w:tooltip="Про акціонерні товариства; нормативно-правовий акт № 514-VI від 17.09.2008" w:history="1">
        <w:r w:rsidRPr="00E81790">
          <w:rPr>
            <w:rStyle w:val="a4"/>
            <w:rFonts w:ascii="Times New Roman" w:hAnsi="Times New Roman" w:cs="Times New Roman"/>
            <w:color w:val="000000" w:themeColor="text1"/>
            <w:sz w:val="24"/>
            <w:szCs w:val="24"/>
            <w:u w:val="none"/>
          </w:rPr>
          <w:t>ст. 65-2 Закону України "Про акціонерні товариства"</w:t>
        </w:r>
      </w:hyperlink>
      <w:r w:rsidRPr="00E81790">
        <w:rPr>
          <w:rFonts w:ascii="Times New Roman" w:hAnsi="Times New Roman" w:cs="Times New Roman"/>
          <w:color w:val="000000" w:themeColor="text1"/>
          <w:sz w:val="24"/>
          <w:szCs w:val="24"/>
        </w:rPr>
        <w:t>;</w:t>
      </w:r>
    </w:p>
    <w:p w:rsidR="0064591A" w:rsidRPr="00E81790" w:rsidRDefault="0064591A" w:rsidP="004665BB">
      <w:pPr>
        <w:spacing w:after="0" w:line="240" w:lineRule="auto"/>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заборони Публічному акціонерному товариству "Національний депозитарій України" складати перелік (реєстр) акціонерів Товариства з метою проведення процедур, передбачених </w:t>
      </w:r>
      <w:hyperlink r:id="rId12" w:anchor="1820" w:tgtFrame="_blank" w:tooltip="Про акціонерні товариства; нормативно-правовий акт № 514-VI від 17.09.2008" w:history="1">
        <w:r w:rsidRPr="00E81790">
          <w:rPr>
            <w:rStyle w:val="a4"/>
            <w:rFonts w:ascii="Times New Roman" w:hAnsi="Times New Roman" w:cs="Times New Roman"/>
            <w:color w:val="000000" w:themeColor="text1"/>
            <w:sz w:val="24"/>
            <w:szCs w:val="24"/>
            <w:u w:val="none"/>
          </w:rPr>
          <w:t>ст. 65-2 Закону України "Про акціонерні товариства"</w:t>
        </w:r>
      </w:hyperlink>
      <w:r w:rsidRPr="00E81790">
        <w:rPr>
          <w:rFonts w:ascii="Times New Roman" w:hAnsi="Times New Roman" w:cs="Times New Roman"/>
          <w:color w:val="000000" w:themeColor="text1"/>
          <w:sz w:val="24"/>
          <w:szCs w:val="24"/>
        </w:rPr>
        <w:t> та надсилати його Товариству будь-яким способом;</w:t>
      </w:r>
    </w:p>
    <w:p w:rsidR="0064591A" w:rsidRPr="00E81790" w:rsidRDefault="0064591A" w:rsidP="004665BB">
      <w:pPr>
        <w:spacing w:after="0" w:line="240" w:lineRule="auto"/>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заборони Товариству, будь-якому його органу, включаючи наглядову раду і виконавчий орган, будь-якому представнику Товариства, будь-якому органу загальних зборів акціонерів, включаючи: реєстраційну комісію, тимчасову лічильну комісію, лічильну комісію, Голову і Секретаря загальних зборів, під час реєстрації акціонерів Товариства та їх представників на будь-які загальні збори акціонерів Товариства та під час проведення цих зборів при винесенні на загальні збори акціонерів Товариства  питань про зміну типу товариства чи які опосередковано це передбачають видавати акціонерам Товариства та їх представникам бюлетені для голосування по цим питанням.</w:t>
      </w:r>
    </w:p>
    <w:p w:rsidR="0064591A" w:rsidRPr="00E81790" w:rsidRDefault="0083777D"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Судами першої та апеляційної інстанцій заяву було задоволено в повному обсязі.</w:t>
      </w:r>
    </w:p>
    <w:p w:rsidR="00F136A0" w:rsidRPr="00E81790" w:rsidRDefault="00F136A0"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Судові рішення мотивовані тим, що наведені заявником в заяві про вжиття заходів до забезпечення позову доводи щодо можливості вчинення </w:t>
      </w:r>
      <w:r w:rsidR="00E06E83" w:rsidRPr="00E81790">
        <w:rPr>
          <w:rFonts w:ascii="Times New Roman" w:hAnsi="Times New Roman" w:cs="Times New Roman"/>
          <w:color w:val="000000" w:themeColor="text1"/>
          <w:sz w:val="24"/>
          <w:szCs w:val="24"/>
        </w:rPr>
        <w:t>акціонерним товариством</w:t>
      </w:r>
      <w:r w:rsidRPr="00E81790">
        <w:rPr>
          <w:rFonts w:ascii="Times New Roman" w:hAnsi="Times New Roman" w:cs="Times New Roman"/>
          <w:color w:val="000000" w:themeColor="text1"/>
          <w:sz w:val="24"/>
          <w:szCs w:val="24"/>
        </w:rPr>
        <w:t xml:space="preserve"> дій, спрямованих на підг</w:t>
      </w:r>
      <w:r w:rsidR="006D27B3">
        <w:rPr>
          <w:rFonts w:ascii="Times New Roman" w:hAnsi="Times New Roman" w:cs="Times New Roman"/>
          <w:color w:val="000000" w:themeColor="text1"/>
          <w:sz w:val="24"/>
          <w:szCs w:val="24"/>
        </w:rPr>
        <w:t>отовку до проведення процедури «</w:t>
      </w:r>
      <w:proofErr w:type="spellStart"/>
      <w:r w:rsidRPr="00E81790">
        <w:rPr>
          <w:rFonts w:ascii="Times New Roman" w:hAnsi="Times New Roman" w:cs="Times New Roman"/>
          <w:color w:val="000000" w:themeColor="text1"/>
          <w:sz w:val="24"/>
          <w:szCs w:val="24"/>
        </w:rPr>
        <w:t>сквіз</w:t>
      </w:r>
      <w:proofErr w:type="spellEnd"/>
      <w:r w:rsidRPr="00E81790">
        <w:rPr>
          <w:rFonts w:ascii="Times New Roman" w:hAnsi="Times New Roman" w:cs="Times New Roman"/>
          <w:color w:val="000000" w:themeColor="text1"/>
          <w:sz w:val="24"/>
          <w:szCs w:val="24"/>
        </w:rPr>
        <w:t xml:space="preserve"> а</w:t>
      </w:r>
      <w:r w:rsidR="006D27B3">
        <w:rPr>
          <w:rFonts w:ascii="Times New Roman" w:hAnsi="Times New Roman" w:cs="Times New Roman"/>
          <w:color w:val="000000" w:themeColor="text1"/>
          <w:sz w:val="24"/>
          <w:szCs w:val="24"/>
        </w:rPr>
        <w:t>ут»</w:t>
      </w:r>
      <w:r w:rsidRPr="00E81790">
        <w:rPr>
          <w:rFonts w:ascii="Times New Roman" w:hAnsi="Times New Roman" w:cs="Times New Roman"/>
          <w:color w:val="000000" w:themeColor="text1"/>
          <w:sz w:val="24"/>
          <w:szCs w:val="24"/>
        </w:rPr>
        <w:t xml:space="preserve"> та викупу акцій, є доведеними та документально підтвердженими, процедура обов'язкового продажу простих акцій акціонерами на вимогу особи, яка є власником домінуючого контро</w:t>
      </w:r>
      <w:r w:rsidR="006D27B3">
        <w:rPr>
          <w:rFonts w:ascii="Times New Roman" w:hAnsi="Times New Roman" w:cs="Times New Roman"/>
          <w:color w:val="000000" w:themeColor="text1"/>
          <w:sz w:val="24"/>
          <w:szCs w:val="24"/>
        </w:rPr>
        <w:t>льного пакета акцій (процедура «</w:t>
      </w:r>
      <w:proofErr w:type="spellStart"/>
      <w:r w:rsidR="006D27B3">
        <w:rPr>
          <w:rFonts w:ascii="Times New Roman" w:hAnsi="Times New Roman" w:cs="Times New Roman"/>
          <w:color w:val="000000" w:themeColor="text1"/>
          <w:sz w:val="24"/>
          <w:szCs w:val="24"/>
        </w:rPr>
        <w:t>сквіз</w:t>
      </w:r>
      <w:proofErr w:type="spellEnd"/>
      <w:r w:rsidR="006D27B3">
        <w:rPr>
          <w:rFonts w:ascii="Times New Roman" w:hAnsi="Times New Roman" w:cs="Times New Roman"/>
          <w:color w:val="000000" w:themeColor="text1"/>
          <w:sz w:val="24"/>
          <w:szCs w:val="24"/>
        </w:rPr>
        <w:t xml:space="preserve"> аут»</w:t>
      </w:r>
      <w:r w:rsidRPr="00E81790">
        <w:rPr>
          <w:rFonts w:ascii="Times New Roman" w:hAnsi="Times New Roman" w:cs="Times New Roman"/>
          <w:color w:val="000000" w:themeColor="text1"/>
          <w:sz w:val="24"/>
          <w:szCs w:val="24"/>
        </w:rPr>
        <w:t>) не є довготривалою та у випадку її початку вжиття заходів забезпечення позову не буде тим ефективним способом захисту корпоративних прав заявника як власника акцій, на який він розраховує на стадії до подання відповідного позову. За висновком судів, процедура обов'язкового продажу простих акцій акціонерами на вимогу власника домінуючого контрольного пакета акцій Товариства може бути розпочата в будь-</w:t>
      </w:r>
      <w:r w:rsidRPr="00E81790">
        <w:rPr>
          <w:rFonts w:ascii="Times New Roman" w:hAnsi="Times New Roman" w:cs="Times New Roman"/>
          <w:color w:val="000000" w:themeColor="text1"/>
          <w:sz w:val="24"/>
          <w:szCs w:val="24"/>
        </w:rPr>
        <w:lastRenderedPageBreak/>
        <w:t xml:space="preserve">який момент та у разі якщо позов про зобов'язання </w:t>
      </w:r>
      <w:r w:rsidR="00E06E83" w:rsidRPr="00E81790">
        <w:rPr>
          <w:rFonts w:ascii="Times New Roman" w:hAnsi="Times New Roman" w:cs="Times New Roman"/>
          <w:color w:val="000000" w:themeColor="text1"/>
          <w:sz w:val="24"/>
          <w:szCs w:val="24"/>
        </w:rPr>
        <w:t>товариства</w:t>
      </w:r>
      <w:r w:rsidRPr="00E81790">
        <w:rPr>
          <w:rFonts w:ascii="Times New Roman" w:hAnsi="Times New Roman" w:cs="Times New Roman"/>
          <w:color w:val="000000" w:themeColor="text1"/>
          <w:sz w:val="24"/>
          <w:szCs w:val="24"/>
        </w:rPr>
        <w:t xml:space="preserve"> виконати умови договору купівлі-продажу цінних паперів, укладеного між ними в судовому порядку, буде задоволено суд</w:t>
      </w:r>
      <w:r w:rsidR="006D27B3">
        <w:rPr>
          <w:rFonts w:ascii="Times New Roman" w:hAnsi="Times New Roman" w:cs="Times New Roman"/>
          <w:color w:val="000000" w:themeColor="text1"/>
          <w:sz w:val="24"/>
          <w:szCs w:val="24"/>
        </w:rPr>
        <w:t>ом та буде проведено процедуру «</w:t>
      </w:r>
      <w:proofErr w:type="spellStart"/>
      <w:r w:rsidR="006D27B3">
        <w:rPr>
          <w:rFonts w:ascii="Times New Roman" w:hAnsi="Times New Roman" w:cs="Times New Roman"/>
          <w:color w:val="000000" w:themeColor="text1"/>
          <w:sz w:val="24"/>
          <w:szCs w:val="24"/>
        </w:rPr>
        <w:t>сквіз</w:t>
      </w:r>
      <w:proofErr w:type="spellEnd"/>
      <w:r w:rsidR="006D27B3">
        <w:rPr>
          <w:rFonts w:ascii="Times New Roman" w:hAnsi="Times New Roman" w:cs="Times New Roman"/>
          <w:color w:val="000000" w:themeColor="text1"/>
          <w:sz w:val="24"/>
          <w:szCs w:val="24"/>
        </w:rPr>
        <w:t xml:space="preserve"> аут»</w:t>
      </w:r>
      <w:r w:rsidRPr="00E81790">
        <w:rPr>
          <w:rFonts w:ascii="Times New Roman" w:hAnsi="Times New Roman" w:cs="Times New Roman"/>
          <w:color w:val="000000" w:themeColor="text1"/>
          <w:sz w:val="24"/>
          <w:szCs w:val="24"/>
        </w:rPr>
        <w:t>, то відсутність акцій на рахунку Товариства може істотно ускладнити чи унеможливити виконання у подальшому такого рішення, оскільки права на ці акції перейдуть до власника домінуючого пакету та заявнику необхідно буде вживати додаткових заходів для відновлення свого порушеного права у спосіб подання нового позову для оспорювання нових процедур за наявності вже одного судового рішення, що набрало законної сили, однак не виконано, а наявність укладеного договору (в даному випадку - визнаного укладеним рішенням суду) не буде перешкодою для здійснення такої процедури щодо акцій заявника. За висновком судів вжиття заявлених заходів забезпечення позову є необхідним для недопущення порушення корпоративного права заявника на викуп у нього акцій емітентом.</w:t>
      </w:r>
    </w:p>
    <w:p w:rsidR="0083777D" w:rsidRPr="00E81790" w:rsidRDefault="0083777D"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Однак, Верховний суд не погоджується з рішеннями судів попередніх інстанцій виходячи з наступного.</w:t>
      </w:r>
    </w:p>
    <w:p w:rsidR="00F136A0" w:rsidRPr="00E81790" w:rsidRDefault="00F136A0"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Задовольняючи заяву про вжиття заходів забезпечення позову, суди попередніх інстанцій визнали доведеними обставини можливості вчинення </w:t>
      </w:r>
      <w:r w:rsidR="008B24F3" w:rsidRPr="00E81790">
        <w:rPr>
          <w:rFonts w:ascii="Times New Roman" w:hAnsi="Times New Roman" w:cs="Times New Roman"/>
          <w:color w:val="000000" w:themeColor="text1"/>
          <w:sz w:val="24"/>
          <w:szCs w:val="24"/>
        </w:rPr>
        <w:t>товариством</w:t>
      </w:r>
      <w:r w:rsidRPr="00E81790">
        <w:rPr>
          <w:rFonts w:ascii="Times New Roman" w:hAnsi="Times New Roman" w:cs="Times New Roman"/>
          <w:color w:val="000000" w:themeColor="text1"/>
          <w:sz w:val="24"/>
          <w:szCs w:val="24"/>
        </w:rPr>
        <w:t xml:space="preserve"> дій, направлених на підг</w:t>
      </w:r>
      <w:r w:rsidR="006D27B3">
        <w:rPr>
          <w:rFonts w:ascii="Times New Roman" w:hAnsi="Times New Roman" w:cs="Times New Roman"/>
          <w:color w:val="000000" w:themeColor="text1"/>
          <w:sz w:val="24"/>
          <w:szCs w:val="24"/>
        </w:rPr>
        <w:t>отовку до проведення процедури «</w:t>
      </w:r>
      <w:proofErr w:type="spellStart"/>
      <w:r w:rsidR="006D27B3">
        <w:rPr>
          <w:rFonts w:ascii="Times New Roman" w:hAnsi="Times New Roman" w:cs="Times New Roman"/>
          <w:color w:val="000000" w:themeColor="text1"/>
          <w:sz w:val="24"/>
          <w:szCs w:val="24"/>
        </w:rPr>
        <w:t>сквіз</w:t>
      </w:r>
      <w:proofErr w:type="spellEnd"/>
      <w:r w:rsidR="006D27B3">
        <w:rPr>
          <w:rFonts w:ascii="Times New Roman" w:hAnsi="Times New Roman" w:cs="Times New Roman"/>
          <w:color w:val="000000" w:themeColor="text1"/>
          <w:sz w:val="24"/>
          <w:szCs w:val="24"/>
        </w:rPr>
        <w:t xml:space="preserve"> аут»</w:t>
      </w:r>
      <w:r w:rsidRPr="00E81790">
        <w:rPr>
          <w:rFonts w:ascii="Times New Roman" w:hAnsi="Times New Roman" w:cs="Times New Roman"/>
          <w:color w:val="000000" w:themeColor="text1"/>
          <w:sz w:val="24"/>
          <w:szCs w:val="24"/>
        </w:rPr>
        <w:t>.</w:t>
      </w:r>
    </w:p>
    <w:p w:rsidR="00F136A0" w:rsidRPr="00E81790" w:rsidRDefault="00F136A0"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Однак, зазначений висновок судів не є достатньо обґрунтованим доказами, які б підтверджували ці обставини, оскільки звернення </w:t>
      </w:r>
      <w:r w:rsidR="008B24F3" w:rsidRPr="00E81790">
        <w:rPr>
          <w:rFonts w:ascii="Times New Roman" w:hAnsi="Times New Roman" w:cs="Times New Roman"/>
          <w:color w:val="000000" w:themeColor="text1"/>
          <w:sz w:val="24"/>
          <w:szCs w:val="24"/>
        </w:rPr>
        <w:t>товариства</w:t>
      </w:r>
      <w:r w:rsidRPr="00E81790">
        <w:rPr>
          <w:rFonts w:ascii="Times New Roman" w:hAnsi="Times New Roman" w:cs="Times New Roman"/>
          <w:color w:val="000000" w:themeColor="text1"/>
          <w:sz w:val="24"/>
          <w:szCs w:val="24"/>
        </w:rPr>
        <w:t xml:space="preserve"> зі скаргою до Національної комісії з цінних паперів та фондового ринку (далі по тексту - Комісія), як і прийняття комісією рішення щодо зупинення торгівлі цінними паперами </w:t>
      </w:r>
      <w:r w:rsidR="00D0206A" w:rsidRPr="00E81790">
        <w:rPr>
          <w:rFonts w:ascii="Times New Roman" w:hAnsi="Times New Roman" w:cs="Times New Roman"/>
          <w:color w:val="000000" w:themeColor="text1"/>
          <w:sz w:val="24"/>
          <w:szCs w:val="24"/>
        </w:rPr>
        <w:t>товариства</w:t>
      </w:r>
      <w:r w:rsidRPr="00E81790">
        <w:rPr>
          <w:rFonts w:ascii="Times New Roman" w:hAnsi="Times New Roman" w:cs="Times New Roman"/>
          <w:color w:val="000000" w:themeColor="text1"/>
          <w:sz w:val="24"/>
          <w:szCs w:val="24"/>
        </w:rPr>
        <w:t xml:space="preserve"> на будь-якій фондовій біржі не має ж</w:t>
      </w:r>
      <w:r w:rsidR="006D27B3">
        <w:rPr>
          <w:rFonts w:ascii="Times New Roman" w:hAnsi="Times New Roman" w:cs="Times New Roman"/>
          <w:color w:val="000000" w:themeColor="text1"/>
          <w:sz w:val="24"/>
          <w:szCs w:val="24"/>
        </w:rPr>
        <w:t>одного відношення до процедури «</w:t>
      </w:r>
      <w:proofErr w:type="spellStart"/>
      <w:r w:rsidRPr="00E81790">
        <w:rPr>
          <w:rFonts w:ascii="Times New Roman" w:hAnsi="Times New Roman" w:cs="Times New Roman"/>
          <w:color w:val="000000" w:themeColor="text1"/>
          <w:sz w:val="24"/>
          <w:szCs w:val="24"/>
        </w:rPr>
        <w:t>ск</w:t>
      </w:r>
      <w:r w:rsidR="006D27B3">
        <w:rPr>
          <w:rFonts w:ascii="Times New Roman" w:hAnsi="Times New Roman" w:cs="Times New Roman"/>
          <w:color w:val="000000" w:themeColor="text1"/>
          <w:sz w:val="24"/>
          <w:szCs w:val="24"/>
        </w:rPr>
        <w:t>віз</w:t>
      </w:r>
      <w:proofErr w:type="spellEnd"/>
      <w:r w:rsidR="006D27B3">
        <w:rPr>
          <w:rFonts w:ascii="Times New Roman" w:hAnsi="Times New Roman" w:cs="Times New Roman"/>
          <w:color w:val="000000" w:themeColor="text1"/>
          <w:sz w:val="24"/>
          <w:szCs w:val="24"/>
        </w:rPr>
        <w:t xml:space="preserve"> аут»</w:t>
      </w:r>
      <w:r w:rsidRPr="00E81790">
        <w:rPr>
          <w:rFonts w:ascii="Times New Roman" w:hAnsi="Times New Roman" w:cs="Times New Roman"/>
          <w:color w:val="000000" w:themeColor="text1"/>
          <w:sz w:val="24"/>
          <w:szCs w:val="24"/>
        </w:rPr>
        <w:t xml:space="preserve">, не є прямим доказом підготовки товариства до проведення процедури обов'язкового продажу простих акцій акціонерами на вимогу власника домінуючого </w:t>
      </w:r>
      <w:r w:rsidR="006D27B3">
        <w:rPr>
          <w:rFonts w:ascii="Times New Roman" w:hAnsi="Times New Roman" w:cs="Times New Roman"/>
          <w:color w:val="000000" w:themeColor="text1"/>
          <w:sz w:val="24"/>
          <w:szCs w:val="24"/>
        </w:rPr>
        <w:t>контрольного пакету, процедура «</w:t>
      </w:r>
      <w:proofErr w:type="spellStart"/>
      <w:r w:rsidR="006D27B3">
        <w:rPr>
          <w:rFonts w:ascii="Times New Roman" w:hAnsi="Times New Roman" w:cs="Times New Roman"/>
          <w:color w:val="000000" w:themeColor="text1"/>
          <w:sz w:val="24"/>
          <w:szCs w:val="24"/>
        </w:rPr>
        <w:t>сквіз</w:t>
      </w:r>
      <w:proofErr w:type="spellEnd"/>
      <w:r w:rsidR="006D27B3">
        <w:rPr>
          <w:rFonts w:ascii="Times New Roman" w:hAnsi="Times New Roman" w:cs="Times New Roman"/>
          <w:color w:val="000000" w:themeColor="text1"/>
          <w:sz w:val="24"/>
          <w:szCs w:val="24"/>
        </w:rPr>
        <w:t>-ауту»</w:t>
      </w:r>
      <w:r w:rsidRPr="00E81790">
        <w:rPr>
          <w:rFonts w:ascii="Times New Roman" w:hAnsi="Times New Roman" w:cs="Times New Roman"/>
          <w:color w:val="000000" w:themeColor="text1"/>
          <w:sz w:val="24"/>
          <w:szCs w:val="24"/>
        </w:rPr>
        <w:t xml:space="preserve"> є виключним правом власника домінуючого контрольного пакета акцій і не залежить від прав та безпосередніх дій зі сторони емітента. Підставою для такого звернення стало порушення прав емітента  в результаті маніпулювання акціями емітента на фондовому ринку з метою створення економічно невиправданої ціни акцій.</w:t>
      </w:r>
    </w:p>
    <w:p w:rsidR="00D0206A" w:rsidRPr="00E81790" w:rsidRDefault="00D0206A"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Посилання судів на витяг з протоколу засідання Національної комісії з цінних паперів та фондового ринку, в якому комісією зазначено про те, що штучне формування ціни вище, ніж економічно обґрунтована, може бути використане недобросовісними акціонерами для примушення емітента здійснювати викуп акцій за економічно необґрунтованою вар</w:t>
      </w:r>
      <w:r w:rsidR="006D27B3">
        <w:rPr>
          <w:rFonts w:ascii="Times New Roman" w:hAnsi="Times New Roman" w:cs="Times New Roman"/>
          <w:color w:val="000000" w:themeColor="text1"/>
          <w:sz w:val="24"/>
          <w:szCs w:val="24"/>
        </w:rPr>
        <w:t>тістю при проведенні процедури «</w:t>
      </w:r>
      <w:proofErr w:type="spellStart"/>
      <w:r w:rsidR="006D27B3">
        <w:rPr>
          <w:rFonts w:ascii="Times New Roman" w:hAnsi="Times New Roman" w:cs="Times New Roman"/>
          <w:color w:val="000000" w:themeColor="text1"/>
          <w:sz w:val="24"/>
          <w:szCs w:val="24"/>
        </w:rPr>
        <w:t>сквіз</w:t>
      </w:r>
      <w:proofErr w:type="spellEnd"/>
      <w:r w:rsidR="006D27B3">
        <w:rPr>
          <w:rFonts w:ascii="Times New Roman" w:hAnsi="Times New Roman" w:cs="Times New Roman"/>
          <w:color w:val="000000" w:themeColor="text1"/>
          <w:sz w:val="24"/>
          <w:szCs w:val="24"/>
        </w:rPr>
        <w:t xml:space="preserve"> аут»</w:t>
      </w:r>
      <w:r w:rsidRPr="00E81790">
        <w:rPr>
          <w:rFonts w:ascii="Times New Roman" w:hAnsi="Times New Roman" w:cs="Times New Roman"/>
          <w:color w:val="000000" w:themeColor="text1"/>
          <w:sz w:val="24"/>
          <w:szCs w:val="24"/>
        </w:rPr>
        <w:t xml:space="preserve">, що може призвести до спричинення матеріальних збитків емітента та нанесенню шкоди інвесторам, є безпідставним, оскільки зазначене посилання, яке міститься в протоколі засідання Комісії, не підтверджує обставин вчинення товариством дій, направлених на підготовку до проведення процедури </w:t>
      </w:r>
      <w:r w:rsidR="006D27B3">
        <w:rPr>
          <w:rFonts w:ascii="Times New Roman" w:hAnsi="Times New Roman" w:cs="Times New Roman"/>
          <w:color w:val="000000" w:themeColor="text1"/>
          <w:sz w:val="24"/>
          <w:szCs w:val="24"/>
          <w:lang w:val="ru-RU"/>
        </w:rPr>
        <w:t>«</w:t>
      </w:r>
      <w:proofErr w:type="spellStart"/>
      <w:r w:rsidRPr="00E81790">
        <w:rPr>
          <w:rFonts w:ascii="Times New Roman" w:hAnsi="Times New Roman" w:cs="Times New Roman"/>
          <w:color w:val="000000" w:themeColor="text1"/>
          <w:sz w:val="24"/>
          <w:szCs w:val="24"/>
        </w:rPr>
        <w:t>сквіз</w:t>
      </w:r>
      <w:proofErr w:type="spellEnd"/>
      <w:r w:rsidRPr="00E81790">
        <w:rPr>
          <w:rFonts w:ascii="Times New Roman" w:hAnsi="Times New Roman" w:cs="Times New Roman"/>
          <w:color w:val="000000" w:themeColor="text1"/>
          <w:sz w:val="24"/>
          <w:szCs w:val="24"/>
        </w:rPr>
        <w:t xml:space="preserve"> ауту</w:t>
      </w:r>
      <w:r w:rsidR="006D27B3">
        <w:rPr>
          <w:rFonts w:ascii="Times New Roman" w:hAnsi="Times New Roman" w:cs="Times New Roman"/>
          <w:color w:val="000000" w:themeColor="text1"/>
          <w:sz w:val="24"/>
          <w:szCs w:val="24"/>
          <w:lang w:val="ru-RU"/>
        </w:rPr>
        <w:t>»</w:t>
      </w:r>
      <w:r w:rsidRPr="00E81790">
        <w:rPr>
          <w:rFonts w:ascii="Times New Roman" w:hAnsi="Times New Roman" w:cs="Times New Roman"/>
          <w:color w:val="000000" w:themeColor="text1"/>
          <w:sz w:val="24"/>
          <w:szCs w:val="24"/>
        </w:rPr>
        <w:t xml:space="preserve"> та взагалі не стосується власника домінуючого контрольного пакету акцій.</w:t>
      </w:r>
    </w:p>
    <w:p w:rsidR="00D0206A" w:rsidRPr="00E81790" w:rsidRDefault="00D0206A"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З огляду на викладене, колегія суддів вважає, що твердження заявника та висновки судів попередніх інстанцій ґрунтуються лише на припущеннях щодо ймовірності проведення товариством процедури </w:t>
      </w:r>
      <w:r w:rsidR="006D27B3">
        <w:rPr>
          <w:rFonts w:ascii="Times New Roman" w:hAnsi="Times New Roman" w:cs="Times New Roman"/>
          <w:color w:val="000000" w:themeColor="text1"/>
          <w:sz w:val="24"/>
          <w:szCs w:val="24"/>
          <w:lang w:val="ru-RU"/>
        </w:rPr>
        <w:t>«</w:t>
      </w:r>
      <w:proofErr w:type="spellStart"/>
      <w:r w:rsidRPr="00E81790">
        <w:rPr>
          <w:rFonts w:ascii="Times New Roman" w:hAnsi="Times New Roman" w:cs="Times New Roman"/>
          <w:color w:val="000000" w:themeColor="text1"/>
          <w:sz w:val="24"/>
          <w:szCs w:val="24"/>
        </w:rPr>
        <w:t>сквіз</w:t>
      </w:r>
      <w:proofErr w:type="spellEnd"/>
      <w:r w:rsidRPr="00E81790">
        <w:rPr>
          <w:rFonts w:ascii="Times New Roman" w:hAnsi="Times New Roman" w:cs="Times New Roman"/>
          <w:color w:val="000000" w:themeColor="text1"/>
          <w:sz w:val="24"/>
          <w:szCs w:val="24"/>
        </w:rPr>
        <w:t xml:space="preserve"> аут</w:t>
      </w:r>
      <w:r w:rsidR="006D27B3">
        <w:rPr>
          <w:rFonts w:ascii="Times New Roman" w:hAnsi="Times New Roman" w:cs="Times New Roman"/>
          <w:color w:val="000000" w:themeColor="text1"/>
          <w:sz w:val="24"/>
          <w:szCs w:val="24"/>
          <w:lang w:val="ru-RU"/>
        </w:rPr>
        <w:t>»</w:t>
      </w:r>
      <w:r w:rsidRPr="00E81790">
        <w:rPr>
          <w:rFonts w:ascii="Times New Roman" w:hAnsi="Times New Roman" w:cs="Times New Roman"/>
          <w:color w:val="000000" w:themeColor="text1"/>
          <w:sz w:val="24"/>
          <w:szCs w:val="24"/>
        </w:rPr>
        <w:t xml:space="preserve"> та викупу акцій міноритарних акціонерів власником домінуючого пакету акцій за заниженою ціною, яка не відповідає ринковій, на яких не може ґрунтуватися судове рішення, та не є достатньою підставою для задоволення відповідної заяви, жодних належних та допустимих доказів в підтвердження обставин вчинення товариством дій, направлених на підготовку до проведення процедури </w:t>
      </w:r>
      <w:r w:rsidR="006D27B3">
        <w:rPr>
          <w:rFonts w:ascii="Times New Roman" w:hAnsi="Times New Roman" w:cs="Times New Roman"/>
          <w:color w:val="000000" w:themeColor="text1"/>
          <w:sz w:val="24"/>
          <w:szCs w:val="24"/>
          <w:lang w:val="ru-RU"/>
        </w:rPr>
        <w:t>«</w:t>
      </w:r>
      <w:proofErr w:type="spellStart"/>
      <w:r w:rsidRPr="00E81790">
        <w:rPr>
          <w:rFonts w:ascii="Times New Roman" w:hAnsi="Times New Roman" w:cs="Times New Roman"/>
          <w:color w:val="000000" w:themeColor="text1"/>
          <w:sz w:val="24"/>
          <w:szCs w:val="24"/>
        </w:rPr>
        <w:t>сквіз</w:t>
      </w:r>
      <w:proofErr w:type="spellEnd"/>
      <w:r w:rsidRPr="00E81790">
        <w:rPr>
          <w:rFonts w:ascii="Times New Roman" w:hAnsi="Times New Roman" w:cs="Times New Roman"/>
          <w:color w:val="000000" w:themeColor="text1"/>
          <w:sz w:val="24"/>
          <w:szCs w:val="24"/>
        </w:rPr>
        <w:t xml:space="preserve"> аут</w:t>
      </w:r>
      <w:r w:rsidR="006D27B3">
        <w:rPr>
          <w:rFonts w:ascii="Times New Roman" w:hAnsi="Times New Roman" w:cs="Times New Roman"/>
          <w:color w:val="000000" w:themeColor="text1"/>
          <w:sz w:val="24"/>
          <w:szCs w:val="24"/>
          <w:lang w:val="ru-RU"/>
        </w:rPr>
        <w:t>»</w:t>
      </w:r>
      <w:r w:rsidRPr="00E81790">
        <w:rPr>
          <w:rFonts w:ascii="Times New Roman" w:hAnsi="Times New Roman" w:cs="Times New Roman"/>
          <w:color w:val="000000" w:themeColor="text1"/>
          <w:sz w:val="24"/>
          <w:szCs w:val="24"/>
        </w:rPr>
        <w:t xml:space="preserve"> матеріли справи не містять.</w:t>
      </w:r>
    </w:p>
    <w:p w:rsidR="00D0206A" w:rsidRPr="00E81790" w:rsidRDefault="00D0206A" w:rsidP="004665BB">
      <w:pPr>
        <w:spacing w:after="0" w:line="240" w:lineRule="auto"/>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Таким чином, процедура </w:t>
      </w:r>
      <w:r w:rsidR="006D27B3">
        <w:rPr>
          <w:rFonts w:ascii="Times New Roman" w:hAnsi="Times New Roman" w:cs="Times New Roman"/>
          <w:color w:val="000000" w:themeColor="text1"/>
          <w:sz w:val="24"/>
          <w:szCs w:val="24"/>
          <w:lang w:val="ru-RU"/>
        </w:rPr>
        <w:t>«</w:t>
      </w:r>
      <w:proofErr w:type="spellStart"/>
      <w:r w:rsidRPr="00E81790">
        <w:rPr>
          <w:rFonts w:ascii="Times New Roman" w:hAnsi="Times New Roman" w:cs="Times New Roman"/>
          <w:color w:val="000000" w:themeColor="text1"/>
          <w:sz w:val="24"/>
          <w:szCs w:val="24"/>
        </w:rPr>
        <w:t>сквіз</w:t>
      </w:r>
      <w:proofErr w:type="spellEnd"/>
      <w:r w:rsidRPr="00E81790">
        <w:rPr>
          <w:rFonts w:ascii="Times New Roman" w:hAnsi="Times New Roman" w:cs="Times New Roman"/>
          <w:color w:val="000000" w:themeColor="text1"/>
          <w:sz w:val="24"/>
          <w:szCs w:val="24"/>
        </w:rPr>
        <w:t xml:space="preserve"> аут</w:t>
      </w:r>
      <w:r w:rsidR="006D27B3">
        <w:rPr>
          <w:rFonts w:ascii="Times New Roman" w:hAnsi="Times New Roman" w:cs="Times New Roman"/>
          <w:color w:val="000000" w:themeColor="text1"/>
          <w:sz w:val="24"/>
          <w:szCs w:val="24"/>
          <w:lang w:val="ru-RU"/>
        </w:rPr>
        <w:t>»</w:t>
      </w:r>
      <w:r w:rsidRPr="00E81790">
        <w:rPr>
          <w:rFonts w:ascii="Times New Roman" w:hAnsi="Times New Roman" w:cs="Times New Roman"/>
          <w:color w:val="000000" w:themeColor="text1"/>
          <w:sz w:val="24"/>
          <w:szCs w:val="24"/>
        </w:rPr>
        <w:t xml:space="preserve">, порядок проведення якої визначено в </w:t>
      </w:r>
      <w:hyperlink r:id="rId13" w:anchor="1820" w:tgtFrame="_blank" w:tooltip="Про акціонерні товариства; нормативно-правовий акт № 514-VI від 17.09.2008" w:history="1">
        <w:r w:rsidRPr="00E81790">
          <w:rPr>
            <w:rStyle w:val="a4"/>
            <w:rFonts w:ascii="Times New Roman" w:hAnsi="Times New Roman" w:cs="Times New Roman"/>
            <w:color w:val="000000" w:themeColor="text1"/>
            <w:sz w:val="24"/>
            <w:szCs w:val="24"/>
            <w:u w:val="none"/>
          </w:rPr>
          <w:t>статті 65-2 Закону України "Про акціонерні товариства"</w:t>
        </w:r>
      </w:hyperlink>
      <w:r w:rsidRPr="00E81790">
        <w:rPr>
          <w:rFonts w:ascii="Times New Roman" w:hAnsi="Times New Roman" w:cs="Times New Roman"/>
          <w:color w:val="000000" w:themeColor="text1"/>
          <w:sz w:val="24"/>
          <w:szCs w:val="24"/>
        </w:rPr>
        <w:t xml:space="preserve">, є виключно правом власника домінуючого контрольного пакета акцій відповідного товариства. При цьому, положення </w:t>
      </w:r>
      <w:hyperlink r:id="rId14" w:anchor="1820" w:tgtFrame="_blank" w:tooltip="Про акціонерні товариства; нормативно-правовий акт № 514-VI від 17.09.2008" w:history="1">
        <w:r w:rsidRPr="00E81790">
          <w:rPr>
            <w:rStyle w:val="a4"/>
            <w:rFonts w:ascii="Times New Roman" w:hAnsi="Times New Roman" w:cs="Times New Roman"/>
            <w:color w:val="000000" w:themeColor="text1"/>
            <w:sz w:val="24"/>
            <w:szCs w:val="24"/>
            <w:u w:val="none"/>
          </w:rPr>
          <w:t>статті 65-2 Закону України "Про акціонерні товариства"</w:t>
        </w:r>
      </w:hyperlink>
      <w:r w:rsidRPr="00E81790">
        <w:rPr>
          <w:rFonts w:ascii="Times New Roman" w:hAnsi="Times New Roman" w:cs="Times New Roman"/>
          <w:color w:val="000000" w:themeColor="text1"/>
          <w:sz w:val="24"/>
          <w:szCs w:val="24"/>
        </w:rPr>
        <w:t xml:space="preserve"> покладають на товариство та Центральний депозитарій цінних паперів певні обов'язки, пов'язані зі реалізацією процедури </w:t>
      </w:r>
      <w:r w:rsidR="006D27B3" w:rsidRPr="006D27B3">
        <w:rPr>
          <w:rFonts w:ascii="Times New Roman" w:hAnsi="Times New Roman" w:cs="Times New Roman"/>
          <w:color w:val="000000" w:themeColor="text1"/>
          <w:sz w:val="24"/>
          <w:szCs w:val="24"/>
        </w:rPr>
        <w:t>«</w:t>
      </w:r>
      <w:proofErr w:type="spellStart"/>
      <w:r w:rsidRPr="00E81790">
        <w:rPr>
          <w:rFonts w:ascii="Times New Roman" w:hAnsi="Times New Roman" w:cs="Times New Roman"/>
          <w:color w:val="000000" w:themeColor="text1"/>
          <w:sz w:val="24"/>
          <w:szCs w:val="24"/>
        </w:rPr>
        <w:t>сквіз</w:t>
      </w:r>
      <w:proofErr w:type="spellEnd"/>
      <w:r w:rsidRPr="00E81790">
        <w:rPr>
          <w:rFonts w:ascii="Times New Roman" w:hAnsi="Times New Roman" w:cs="Times New Roman"/>
          <w:color w:val="000000" w:themeColor="text1"/>
          <w:sz w:val="24"/>
          <w:szCs w:val="24"/>
        </w:rPr>
        <w:t xml:space="preserve"> аут</w:t>
      </w:r>
      <w:r w:rsidR="006D27B3" w:rsidRPr="006D27B3">
        <w:rPr>
          <w:rFonts w:ascii="Times New Roman" w:hAnsi="Times New Roman" w:cs="Times New Roman"/>
          <w:color w:val="000000" w:themeColor="text1"/>
          <w:sz w:val="24"/>
          <w:szCs w:val="24"/>
        </w:rPr>
        <w:t>»</w:t>
      </w:r>
      <w:r w:rsidRPr="00E81790">
        <w:rPr>
          <w:rFonts w:ascii="Times New Roman" w:hAnsi="Times New Roman" w:cs="Times New Roman"/>
          <w:color w:val="000000" w:themeColor="text1"/>
          <w:sz w:val="24"/>
          <w:szCs w:val="24"/>
        </w:rPr>
        <w:t>, зокрема обов'язок скласти відповідні переліки акціонерів.</w:t>
      </w:r>
    </w:p>
    <w:p w:rsidR="00D0206A" w:rsidRPr="00E81790" w:rsidRDefault="00D0206A"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Під час вирішення питання про вжиття заходів забезпечення позову необхідно враховувати, що такими заходами не повинні порушуватися права осіб, які не є учасниками судового процесу, застосовуватися обмеження, не пов'язані з предметом спору.</w:t>
      </w:r>
    </w:p>
    <w:p w:rsidR="00D0206A" w:rsidRPr="00E81790" w:rsidRDefault="00D0206A"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lastRenderedPageBreak/>
        <w:t xml:space="preserve">Однак, суди попередніх інстанцій своїми рішеннями фактично заборонили можливість реалізації акціонером - власником домінуючого контрольного пакету акцій права на викуп акцій у всіх міноритарних власників акцій товариства відповідно до вимог </w:t>
      </w:r>
      <w:hyperlink r:id="rId15" w:anchor="1820" w:tgtFrame="_blank" w:tooltip="Про акціонерні товариства; нормативно-правовий акт № 514-VI від 17.09.2008" w:history="1">
        <w:r w:rsidRPr="00E81790">
          <w:rPr>
            <w:rStyle w:val="a4"/>
            <w:rFonts w:ascii="Times New Roman" w:hAnsi="Times New Roman" w:cs="Times New Roman"/>
            <w:color w:val="000000" w:themeColor="text1"/>
            <w:sz w:val="24"/>
            <w:szCs w:val="24"/>
            <w:u w:val="none"/>
          </w:rPr>
          <w:t>статті 65-2 Закону України "Про акціонерні товариства"</w:t>
        </w:r>
      </w:hyperlink>
      <w:r w:rsidRPr="00E81790">
        <w:rPr>
          <w:rFonts w:ascii="Times New Roman" w:hAnsi="Times New Roman" w:cs="Times New Roman"/>
          <w:color w:val="000000" w:themeColor="text1"/>
          <w:sz w:val="24"/>
          <w:szCs w:val="24"/>
        </w:rPr>
        <w:t xml:space="preserve"> та можливість виконання </w:t>
      </w:r>
      <w:r w:rsidR="00E06E83" w:rsidRPr="00E81790">
        <w:rPr>
          <w:rFonts w:ascii="Times New Roman" w:hAnsi="Times New Roman" w:cs="Times New Roman"/>
          <w:color w:val="000000" w:themeColor="text1"/>
          <w:sz w:val="24"/>
          <w:szCs w:val="24"/>
        </w:rPr>
        <w:t>товариством</w:t>
      </w:r>
      <w:r w:rsidRPr="00E81790">
        <w:rPr>
          <w:rFonts w:ascii="Times New Roman" w:hAnsi="Times New Roman" w:cs="Times New Roman"/>
          <w:color w:val="000000" w:themeColor="text1"/>
          <w:sz w:val="24"/>
          <w:szCs w:val="24"/>
        </w:rPr>
        <w:t xml:space="preserve"> та Публічним акціонерним товариством "Національний депозитарій України" обов'язків, зокрема зі складання відповідних переліків акціонерів, які покладені на них законодавством в процедурі </w:t>
      </w:r>
      <w:r w:rsidR="006D27B3" w:rsidRPr="006D27B3">
        <w:rPr>
          <w:rFonts w:ascii="Times New Roman" w:hAnsi="Times New Roman" w:cs="Times New Roman"/>
          <w:color w:val="000000" w:themeColor="text1"/>
          <w:sz w:val="24"/>
          <w:szCs w:val="24"/>
        </w:rPr>
        <w:t>«</w:t>
      </w:r>
      <w:proofErr w:type="spellStart"/>
      <w:r w:rsidRPr="00E81790">
        <w:rPr>
          <w:rFonts w:ascii="Times New Roman" w:hAnsi="Times New Roman" w:cs="Times New Roman"/>
          <w:color w:val="000000" w:themeColor="text1"/>
          <w:sz w:val="24"/>
          <w:szCs w:val="24"/>
        </w:rPr>
        <w:t>сквіз</w:t>
      </w:r>
      <w:proofErr w:type="spellEnd"/>
      <w:r w:rsidRPr="00E81790">
        <w:rPr>
          <w:rFonts w:ascii="Times New Roman" w:hAnsi="Times New Roman" w:cs="Times New Roman"/>
          <w:color w:val="000000" w:themeColor="text1"/>
          <w:sz w:val="24"/>
          <w:szCs w:val="24"/>
        </w:rPr>
        <w:t xml:space="preserve"> аут</w:t>
      </w:r>
      <w:r w:rsidR="006D27B3" w:rsidRPr="006D27B3">
        <w:rPr>
          <w:rFonts w:ascii="Times New Roman" w:hAnsi="Times New Roman" w:cs="Times New Roman"/>
          <w:color w:val="000000" w:themeColor="text1"/>
          <w:sz w:val="24"/>
          <w:szCs w:val="24"/>
        </w:rPr>
        <w:t>»</w:t>
      </w:r>
      <w:r w:rsidRPr="00E81790">
        <w:rPr>
          <w:rFonts w:ascii="Times New Roman" w:hAnsi="Times New Roman" w:cs="Times New Roman"/>
          <w:color w:val="000000" w:themeColor="text1"/>
          <w:sz w:val="24"/>
          <w:szCs w:val="24"/>
        </w:rPr>
        <w:t xml:space="preserve">. </w:t>
      </w:r>
      <w:r w:rsidRPr="008F7BDB">
        <w:rPr>
          <w:rFonts w:ascii="Times New Roman" w:hAnsi="Times New Roman" w:cs="Times New Roman"/>
          <w:i/>
          <w:color w:val="000000" w:themeColor="text1"/>
          <w:sz w:val="24"/>
          <w:szCs w:val="24"/>
          <w:u w:val="single"/>
        </w:rPr>
        <w:t xml:space="preserve">Тобто суди попередніх інстанцій не врахували, що застосовані ними заходи забезпечення позову порушують права третіх осіб, що не є учасниками спору, зокрема права власника домінуючого контрольного пакету акцій </w:t>
      </w:r>
      <w:r w:rsidR="00E06E83" w:rsidRPr="008F7BDB">
        <w:rPr>
          <w:rFonts w:ascii="Times New Roman" w:hAnsi="Times New Roman" w:cs="Times New Roman"/>
          <w:i/>
          <w:color w:val="000000" w:themeColor="text1"/>
          <w:sz w:val="24"/>
          <w:szCs w:val="24"/>
          <w:u w:val="single"/>
        </w:rPr>
        <w:t>товариства</w:t>
      </w:r>
      <w:r w:rsidRPr="008F7BDB">
        <w:rPr>
          <w:rFonts w:ascii="Times New Roman" w:hAnsi="Times New Roman" w:cs="Times New Roman"/>
          <w:i/>
          <w:color w:val="000000" w:themeColor="text1"/>
          <w:sz w:val="24"/>
          <w:szCs w:val="24"/>
          <w:u w:val="single"/>
        </w:rPr>
        <w:t xml:space="preserve"> та забороняють емітенту та Публічному акціонерному товариству "Національний депозитарій України" вчиняти дії з метою проведення процедур, передбачених </w:t>
      </w:r>
      <w:hyperlink r:id="rId16" w:anchor="1820" w:tgtFrame="_blank" w:tooltip="Про акціонерні товариства; нормативно-правовий акт № 514-VI від 17.09.2008" w:history="1">
        <w:r w:rsidRPr="008F7BDB">
          <w:rPr>
            <w:rStyle w:val="a4"/>
            <w:rFonts w:ascii="Times New Roman" w:hAnsi="Times New Roman" w:cs="Times New Roman"/>
            <w:i/>
            <w:color w:val="000000" w:themeColor="text1"/>
            <w:sz w:val="24"/>
            <w:szCs w:val="24"/>
          </w:rPr>
          <w:t>статтею 65-2 Закону України "Про акціонерні товариства"</w:t>
        </w:r>
      </w:hyperlink>
      <w:r w:rsidRPr="008F7BDB">
        <w:rPr>
          <w:rFonts w:ascii="Times New Roman" w:hAnsi="Times New Roman" w:cs="Times New Roman"/>
          <w:i/>
          <w:color w:val="000000" w:themeColor="text1"/>
          <w:sz w:val="24"/>
          <w:szCs w:val="24"/>
          <w:u w:val="single"/>
        </w:rPr>
        <w:t>, які є обов'язковими для них в силу вимог закону</w:t>
      </w:r>
      <w:r w:rsidRPr="00E81790">
        <w:rPr>
          <w:rFonts w:ascii="Times New Roman" w:hAnsi="Times New Roman" w:cs="Times New Roman"/>
          <w:color w:val="000000" w:themeColor="text1"/>
          <w:sz w:val="24"/>
          <w:szCs w:val="24"/>
        </w:rPr>
        <w:t>.</w:t>
      </w:r>
    </w:p>
    <w:p w:rsidR="00D0206A" w:rsidRPr="00E81790" w:rsidRDefault="00D0206A"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Колегія суддів Касаційного господарського суду також зазначає про те, що </w:t>
      </w:r>
      <w:hyperlink r:id="rId17" w:anchor="34" w:tgtFrame="_blank" w:tooltip="Господарський кодекс України; нормативно-правовий акт № 436-IV від 16.01.2003" w:history="1">
        <w:r w:rsidRPr="00E81790">
          <w:rPr>
            <w:rStyle w:val="a4"/>
            <w:rFonts w:ascii="Times New Roman" w:hAnsi="Times New Roman" w:cs="Times New Roman"/>
            <w:color w:val="000000" w:themeColor="text1"/>
            <w:sz w:val="24"/>
            <w:szCs w:val="24"/>
            <w:u w:val="none"/>
          </w:rPr>
          <w:t>статтею 6 Господарського кодексу України</w:t>
        </w:r>
      </w:hyperlink>
      <w:r w:rsidRPr="00E81790">
        <w:rPr>
          <w:rFonts w:ascii="Times New Roman" w:hAnsi="Times New Roman" w:cs="Times New Roman"/>
          <w:color w:val="000000" w:themeColor="text1"/>
          <w:sz w:val="24"/>
          <w:szCs w:val="24"/>
        </w:rPr>
        <w:t xml:space="preserve"> встановлено заборону незаконного втручання органів державної влади, в тому числі і судів, у господарські відносини, чого також не було враховано судами попередніх інстанцій.</w:t>
      </w:r>
    </w:p>
    <w:p w:rsidR="00D0206A" w:rsidRPr="00E81790" w:rsidRDefault="00D0206A"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З огляду на викладене господарські суди попередніх інстанцій не врахували наведене, у зв'язку з чим дійшли помилкового висновку про те, що заява позивача про застосування заходів забезпечення позову є обґрунтованою, а наведені в ній підстави доведеними. </w:t>
      </w:r>
    </w:p>
    <w:p w:rsidR="000724F7" w:rsidRPr="00E81790" w:rsidRDefault="000724F7" w:rsidP="004665BB">
      <w:pPr>
        <w:spacing w:after="0" w:line="240" w:lineRule="auto"/>
        <w:rPr>
          <w:rFonts w:ascii="Times New Roman" w:eastAsia="Times New Roman" w:hAnsi="Times New Roman" w:cs="Times New Roman"/>
          <w:b/>
          <w:color w:val="000000" w:themeColor="text1"/>
          <w:sz w:val="24"/>
          <w:szCs w:val="24"/>
          <w:u w:val="single"/>
          <w:lang w:eastAsia="uk-UA"/>
        </w:rPr>
      </w:pPr>
    </w:p>
    <w:p w:rsidR="00F136A0" w:rsidRPr="00C35F9B" w:rsidRDefault="00F136A0" w:rsidP="00C35F9B">
      <w:pPr>
        <w:pStyle w:val="a5"/>
        <w:numPr>
          <w:ilvl w:val="0"/>
          <w:numId w:val="1"/>
        </w:numPr>
        <w:spacing w:after="0" w:line="240" w:lineRule="auto"/>
        <w:jc w:val="center"/>
        <w:rPr>
          <w:rFonts w:ascii="Times New Roman" w:eastAsia="Times New Roman" w:hAnsi="Times New Roman" w:cs="Times New Roman"/>
          <w:b/>
          <w:color w:val="000000" w:themeColor="text1"/>
          <w:sz w:val="24"/>
          <w:szCs w:val="24"/>
          <w:u w:val="single"/>
          <w:lang w:eastAsia="uk-UA"/>
        </w:rPr>
      </w:pPr>
      <w:r w:rsidRPr="00C35F9B">
        <w:rPr>
          <w:rFonts w:ascii="Times New Roman" w:eastAsia="Times New Roman" w:hAnsi="Times New Roman" w:cs="Times New Roman"/>
          <w:b/>
          <w:color w:val="000000" w:themeColor="text1"/>
          <w:sz w:val="24"/>
          <w:szCs w:val="24"/>
          <w:u w:val="single"/>
          <w:lang w:eastAsia="uk-UA"/>
        </w:rPr>
        <w:t xml:space="preserve">Про визнання договору купівлі-продажу </w:t>
      </w:r>
      <w:r w:rsidR="008F7BDB" w:rsidRPr="00C35F9B">
        <w:rPr>
          <w:rFonts w:ascii="Times New Roman" w:eastAsia="Times New Roman" w:hAnsi="Times New Roman" w:cs="Times New Roman"/>
          <w:b/>
          <w:color w:val="000000" w:themeColor="text1"/>
          <w:sz w:val="24"/>
          <w:szCs w:val="24"/>
          <w:u w:val="single"/>
          <w:lang w:eastAsia="uk-UA"/>
        </w:rPr>
        <w:t xml:space="preserve">акцій </w:t>
      </w:r>
      <w:r w:rsidRPr="00C35F9B">
        <w:rPr>
          <w:rFonts w:ascii="Times New Roman" w:eastAsia="Times New Roman" w:hAnsi="Times New Roman" w:cs="Times New Roman"/>
          <w:b/>
          <w:color w:val="000000" w:themeColor="text1"/>
          <w:sz w:val="24"/>
          <w:szCs w:val="24"/>
          <w:u w:val="single"/>
          <w:lang w:eastAsia="uk-UA"/>
        </w:rPr>
        <w:t>укладеним, зобов’язання вчинити дії</w:t>
      </w:r>
    </w:p>
    <w:p w:rsidR="000421F7" w:rsidRPr="00C35F9B" w:rsidRDefault="000421F7" w:rsidP="00C35F9B">
      <w:pPr>
        <w:spacing w:after="0" w:line="240" w:lineRule="auto"/>
        <w:jc w:val="center"/>
        <w:rPr>
          <w:rFonts w:ascii="Times New Roman" w:eastAsia="Times New Roman" w:hAnsi="Times New Roman" w:cs="Times New Roman"/>
          <w:i/>
          <w:color w:val="000000" w:themeColor="text1"/>
          <w:sz w:val="24"/>
          <w:szCs w:val="24"/>
          <w:u w:val="single"/>
          <w:lang w:val="ru-RU" w:eastAsia="uk-UA"/>
        </w:rPr>
      </w:pPr>
    </w:p>
    <w:p w:rsidR="00743C21" w:rsidRPr="00C35F9B" w:rsidRDefault="000421F7" w:rsidP="00C35F9B">
      <w:pPr>
        <w:spacing w:after="0" w:line="240" w:lineRule="auto"/>
        <w:jc w:val="center"/>
        <w:rPr>
          <w:rFonts w:ascii="Times New Roman" w:hAnsi="Times New Roman" w:cs="Times New Roman"/>
          <w:i/>
          <w:color w:val="000000" w:themeColor="text1"/>
          <w:sz w:val="24"/>
          <w:szCs w:val="24"/>
          <w:u w:val="single"/>
        </w:rPr>
      </w:pPr>
      <w:r w:rsidRPr="00C35F9B">
        <w:rPr>
          <w:rFonts w:ascii="Times New Roman" w:eastAsia="Times New Roman" w:hAnsi="Times New Roman" w:cs="Times New Roman"/>
          <w:i/>
          <w:color w:val="000000" w:themeColor="text1"/>
          <w:sz w:val="24"/>
          <w:szCs w:val="24"/>
          <w:u w:val="single"/>
          <w:lang w:val="ru-RU" w:eastAsia="uk-UA"/>
        </w:rPr>
        <w:t>(</w:t>
      </w:r>
      <w:r w:rsidRPr="00C35F9B">
        <w:rPr>
          <w:rFonts w:ascii="Times New Roman" w:eastAsia="Times New Roman" w:hAnsi="Times New Roman" w:cs="Times New Roman"/>
          <w:i/>
          <w:color w:val="000000" w:themeColor="text1"/>
          <w:sz w:val="24"/>
          <w:szCs w:val="24"/>
          <w:u w:val="single"/>
          <w:lang w:eastAsia="uk-UA"/>
        </w:rPr>
        <w:t xml:space="preserve">Постанова Верховного суду по справі </w:t>
      </w:r>
      <w:r w:rsidRPr="00C35F9B">
        <w:rPr>
          <w:rFonts w:ascii="Times New Roman" w:hAnsi="Times New Roman" w:cs="Times New Roman"/>
          <w:bCs/>
          <w:i/>
          <w:color w:val="000000" w:themeColor="text1"/>
          <w:sz w:val="24"/>
          <w:szCs w:val="24"/>
          <w:u w:val="single"/>
        </w:rPr>
        <w:t xml:space="preserve">№ </w:t>
      </w:r>
      <w:r w:rsidRPr="00C35F9B">
        <w:rPr>
          <w:rFonts w:ascii="Times New Roman" w:hAnsi="Times New Roman" w:cs="Times New Roman"/>
          <w:i/>
          <w:color w:val="000000" w:themeColor="text1"/>
          <w:sz w:val="24"/>
          <w:szCs w:val="24"/>
          <w:u w:val="single"/>
        </w:rPr>
        <w:t>914/940/17</w:t>
      </w:r>
      <w:r w:rsidRPr="00C35F9B">
        <w:rPr>
          <w:rFonts w:ascii="Times New Roman" w:hAnsi="Times New Roman" w:cs="Times New Roman"/>
          <w:i/>
          <w:color w:val="000000" w:themeColor="text1"/>
          <w:sz w:val="24"/>
          <w:szCs w:val="24"/>
          <w:u w:val="single"/>
          <w:lang w:val="ru-RU"/>
        </w:rPr>
        <w:t>)</w:t>
      </w:r>
    </w:p>
    <w:p w:rsidR="000421F7" w:rsidRPr="00E81790" w:rsidRDefault="000421F7" w:rsidP="004665BB">
      <w:pPr>
        <w:spacing w:after="0" w:line="240" w:lineRule="auto"/>
        <w:jc w:val="both"/>
        <w:rPr>
          <w:rFonts w:ascii="Times New Roman" w:eastAsia="Times New Roman" w:hAnsi="Times New Roman" w:cs="Times New Roman"/>
          <w:b/>
          <w:color w:val="000000" w:themeColor="text1"/>
          <w:sz w:val="24"/>
          <w:szCs w:val="24"/>
          <w:u w:val="single"/>
          <w:lang w:eastAsia="uk-UA"/>
        </w:rPr>
      </w:pPr>
    </w:p>
    <w:p w:rsidR="00F136A0" w:rsidRPr="00E81790" w:rsidRDefault="00F136A0" w:rsidP="004665BB">
      <w:pPr>
        <w:pStyle w:val="a3"/>
        <w:spacing w:before="0" w:beforeAutospacing="0" w:after="0" w:afterAutospacing="0"/>
        <w:ind w:firstLine="708"/>
        <w:jc w:val="both"/>
        <w:rPr>
          <w:color w:val="000000" w:themeColor="text1"/>
        </w:rPr>
      </w:pPr>
      <w:r w:rsidRPr="00E81790">
        <w:rPr>
          <w:color w:val="000000" w:themeColor="text1"/>
        </w:rPr>
        <w:t xml:space="preserve">Позивач звернувся до акціонерного товариства з про визнання укладеним договору купівлі-продажу цінних паперів (викупу емітентом власних цінних паперів), зобов'язання ПАТ "Національний депозитарій України" зарахувати на рахунок у цінних паперах емітента акції прості іменні, які будуть виставленні з рахунку </w:t>
      </w:r>
      <w:r w:rsidR="000421F7" w:rsidRPr="00E81790">
        <w:rPr>
          <w:color w:val="000000" w:themeColor="text1"/>
        </w:rPr>
        <w:t>акціонера та належать йому</w:t>
      </w:r>
      <w:r w:rsidRPr="00E81790">
        <w:rPr>
          <w:color w:val="000000" w:themeColor="text1"/>
        </w:rPr>
        <w:t xml:space="preserve">; стягнення з </w:t>
      </w:r>
      <w:r w:rsidR="000421F7" w:rsidRPr="00E81790">
        <w:rPr>
          <w:color w:val="000000" w:themeColor="text1"/>
        </w:rPr>
        <w:t>акціонерного товариства на користь акціонера</w:t>
      </w:r>
      <w:r w:rsidRPr="00E81790">
        <w:rPr>
          <w:color w:val="000000" w:themeColor="text1"/>
        </w:rPr>
        <w:t xml:space="preserve"> вартість зазначених акцій</w:t>
      </w:r>
      <w:r w:rsidR="000421F7" w:rsidRPr="00E81790">
        <w:rPr>
          <w:color w:val="000000" w:themeColor="text1"/>
        </w:rPr>
        <w:t>.</w:t>
      </w:r>
    </w:p>
    <w:p w:rsidR="00F136A0" w:rsidRPr="00E81790" w:rsidRDefault="00F136A0" w:rsidP="004665BB">
      <w:pPr>
        <w:pStyle w:val="a3"/>
        <w:spacing w:before="0" w:beforeAutospacing="0" w:after="0" w:afterAutospacing="0"/>
        <w:ind w:firstLine="708"/>
        <w:jc w:val="both"/>
        <w:rPr>
          <w:color w:val="000000" w:themeColor="text1"/>
        </w:rPr>
      </w:pPr>
      <w:r w:rsidRPr="00E81790">
        <w:rPr>
          <w:color w:val="000000" w:themeColor="text1"/>
        </w:rPr>
        <w:t>Позовні вимоги мотивовані тим, що позивач є акціонером відповідача</w:t>
      </w:r>
      <w:r w:rsidR="000421F7" w:rsidRPr="00E81790">
        <w:rPr>
          <w:color w:val="000000" w:themeColor="text1"/>
        </w:rPr>
        <w:t>, який</w:t>
      </w:r>
      <w:r w:rsidRPr="00E81790">
        <w:rPr>
          <w:color w:val="000000" w:themeColor="text1"/>
        </w:rPr>
        <w:t xml:space="preserve"> </w:t>
      </w:r>
      <w:r w:rsidR="000421F7" w:rsidRPr="00E81790">
        <w:rPr>
          <w:color w:val="000000" w:themeColor="text1"/>
        </w:rPr>
        <w:t xml:space="preserve">провів </w:t>
      </w:r>
      <w:r w:rsidRPr="00E81790">
        <w:rPr>
          <w:color w:val="000000" w:themeColor="text1"/>
        </w:rPr>
        <w:t xml:space="preserve">чергові збори акціонерів, на яких </w:t>
      </w:r>
      <w:r w:rsidR="000421F7" w:rsidRPr="00E81790">
        <w:rPr>
          <w:color w:val="000000" w:themeColor="text1"/>
        </w:rPr>
        <w:t xml:space="preserve">в </w:t>
      </w:r>
      <w:r w:rsidRPr="00E81790">
        <w:rPr>
          <w:color w:val="000000" w:themeColor="text1"/>
        </w:rPr>
        <w:t>порядку денно</w:t>
      </w:r>
      <w:r w:rsidR="000421F7" w:rsidRPr="00E81790">
        <w:rPr>
          <w:color w:val="000000" w:themeColor="text1"/>
        </w:rPr>
        <w:t>му</w:t>
      </w:r>
      <w:r w:rsidRPr="00E81790">
        <w:rPr>
          <w:color w:val="000000" w:themeColor="text1"/>
        </w:rPr>
        <w:t xml:space="preserve"> було прийняте рішення про попереднє схвалення значних правочинів, які можуть вчинятись товариством протягом не більш як одного року з дати прийняття такого рішення, та уповноваження особи на їх підписання від імені товариства та на вчинення інших необхідних дій.</w:t>
      </w:r>
    </w:p>
    <w:p w:rsidR="00F136A0" w:rsidRPr="00E81790" w:rsidRDefault="00F136A0" w:rsidP="004665BB">
      <w:pPr>
        <w:pStyle w:val="a3"/>
        <w:spacing w:before="0" w:beforeAutospacing="0" w:after="0" w:afterAutospacing="0"/>
        <w:ind w:firstLine="708"/>
        <w:jc w:val="both"/>
        <w:rPr>
          <w:color w:val="000000" w:themeColor="text1"/>
        </w:rPr>
      </w:pPr>
      <w:r w:rsidRPr="00E81790">
        <w:rPr>
          <w:color w:val="000000" w:themeColor="text1"/>
        </w:rPr>
        <w:t xml:space="preserve">Оскільки позивач голосував проти цього рішення, він має право вимагати здійснення обов'язкового викупу акціонерним товариством належних йому акцій на підставі ч. 1 </w:t>
      </w:r>
      <w:hyperlink r:id="rId18" w:anchor="672" w:tgtFrame="_blank" w:tooltip="Про акціонерні товариства; нормативно-правовий акт № 514-VI від 17.09.2008" w:history="1">
        <w:r w:rsidRPr="00E81790">
          <w:rPr>
            <w:rStyle w:val="a4"/>
            <w:color w:val="000000" w:themeColor="text1"/>
            <w:u w:val="none"/>
          </w:rPr>
          <w:t>ст. 68 Закону України "Про акціонерні товариства"</w:t>
        </w:r>
      </w:hyperlink>
      <w:r w:rsidRPr="00E81790">
        <w:rPr>
          <w:color w:val="000000" w:themeColor="text1"/>
        </w:rPr>
        <w:t xml:space="preserve">. </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Задовольняючи позовні вимоги, господарські суди виходили з того, що загальними зборами акціонерів було прийняте рішення про схвалення відомого, але прихованого значного правочину, а не надання попередньої згоди на укладання такого у майбутньому, що може ним бути  вчинений протягом поточного року. </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При цьому, оскільки позивач голосував проти цього рішення, має право вимагати здійснення обов'язкового викупу акціонерним товариством належних йому акцій на підставі ч. 1 </w:t>
      </w:r>
      <w:hyperlink r:id="rId19" w:anchor="672" w:tgtFrame="_blank" w:tooltip="Про акціонерні товариства; нормативно-правовий акт № 514-VI від 17.09.2008" w:history="1">
        <w:r w:rsidRPr="00E81790">
          <w:rPr>
            <w:rStyle w:val="a4"/>
            <w:color w:val="000000" w:themeColor="text1"/>
            <w:u w:val="none"/>
          </w:rPr>
          <w:t>ст. 68 Закону України "Про акціонерні товариства"</w:t>
        </w:r>
      </w:hyperlink>
      <w:r w:rsidRPr="00E81790">
        <w:rPr>
          <w:color w:val="000000" w:themeColor="text1"/>
        </w:rPr>
        <w:t>, чого зроблено не було, незважаючи на надіслану вимогу позивача.</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Оскільки ні на момент призначення, ні на дату проведення загальних зборів підприємство не могло визначити, які значні правочини вчинятимуться товариством у ході поточної діяльності, до порядку денного загальних зборів було включено питання: "Прийняття рішення про попереднє схвалення значних правочинів, які можуть вчинятися товариством протягом не більш як одного року з дати прийняття такого рішення, та уповноваження особи на їх підписання від імені товариства та на вчинення інших необхідних дій". </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lastRenderedPageBreak/>
        <w:t xml:space="preserve">Господарськими судами </w:t>
      </w:r>
      <w:proofErr w:type="spellStart"/>
      <w:r w:rsidR="00D55580" w:rsidRPr="00E81790">
        <w:rPr>
          <w:color w:val="000000" w:themeColor="text1"/>
          <w:lang w:val="ru-RU"/>
        </w:rPr>
        <w:t>попередн</w:t>
      </w:r>
      <w:r w:rsidR="00D55580" w:rsidRPr="00E81790">
        <w:rPr>
          <w:color w:val="000000" w:themeColor="text1"/>
        </w:rPr>
        <w:t>іх</w:t>
      </w:r>
      <w:proofErr w:type="spellEnd"/>
      <w:r w:rsidR="00D55580" w:rsidRPr="00E81790">
        <w:rPr>
          <w:color w:val="000000" w:themeColor="text1"/>
        </w:rPr>
        <w:t xml:space="preserve"> інстанцій </w:t>
      </w:r>
      <w:r w:rsidRPr="00E81790">
        <w:rPr>
          <w:color w:val="000000" w:themeColor="text1"/>
        </w:rPr>
        <w:t xml:space="preserve">неправильно застосовано </w:t>
      </w:r>
      <w:proofErr w:type="spellStart"/>
      <w:r w:rsidRPr="00E81790">
        <w:rPr>
          <w:color w:val="000000" w:themeColor="text1"/>
        </w:rPr>
        <w:t>ч.ч</w:t>
      </w:r>
      <w:proofErr w:type="spellEnd"/>
      <w:r w:rsidRPr="00E81790">
        <w:rPr>
          <w:color w:val="000000" w:themeColor="text1"/>
        </w:rPr>
        <w:t xml:space="preserve">. 1, 2 </w:t>
      </w:r>
      <w:hyperlink r:id="rId20" w:anchor="672" w:tgtFrame="_blank" w:tooltip="Про акціонерні товариства; нормативно-правовий акт № 514-VI від 17.09.2008" w:history="1">
        <w:r w:rsidRPr="00E81790">
          <w:rPr>
            <w:rStyle w:val="a4"/>
            <w:color w:val="000000" w:themeColor="text1"/>
            <w:u w:val="none"/>
          </w:rPr>
          <w:t>ст. 68 Закону України "Про акціонерні товариства"</w:t>
        </w:r>
      </w:hyperlink>
      <w:r w:rsidRPr="00E81790">
        <w:rPr>
          <w:color w:val="000000" w:themeColor="text1"/>
        </w:rPr>
        <w:t>, оскільки рішення про попереднє схвалення правочину не дає право позивачу на обов'язковий викуп акцій.</w:t>
      </w:r>
    </w:p>
    <w:p w:rsidR="00F136A0" w:rsidRPr="00E81790" w:rsidRDefault="00743C21" w:rsidP="004665BB">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E81790">
        <w:rPr>
          <w:rFonts w:ascii="Times New Roman" w:hAnsi="Times New Roman" w:cs="Times New Roman"/>
          <w:color w:val="000000" w:themeColor="text1"/>
          <w:sz w:val="24"/>
          <w:szCs w:val="24"/>
        </w:rPr>
        <w:t xml:space="preserve">Оцінка Вищим господарським судом України наявності або відсутності </w:t>
      </w:r>
      <w:r w:rsidR="00D55580" w:rsidRPr="00E81790">
        <w:rPr>
          <w:rFonts w:ascii="Times New Roman" w:hAnsi="Times New Roman" w:cs="Times New Roman"/>
          <w:color w:val="000000" w:themeColor="text1"/>
          <w:sz w:val="24"/>
          <w:szCs w:val="24"/>
        </w:rPr>
        <w:t xml:space="preserve">акціонера </w:t>
      </w:r>
      <w:r w:rsidRPr="00E81790">
        <w:rPr>
          <w:rFonts w:ascii="Times New Roman" w:hAnsi="Times New Roman" w:cs="Times New Roman"/>
          <w:color w:val="000000" w:themeColor="text1"/>
          <w:sz w:val="24"/>
          <w:szCs w:val="24"/>
        </w:rPr>
        <w:t xml:space="preserve"> права на обов'язковий викуп акцій є правовою оцінкою, а тому не є обов'язковою для інших судів при вирішення справи з огляду на положення </w:t>
      </w:r>
      <w:hyperlink r:id="rId21" w:anchor="579" w:tgtFrame="_blank" w:tooltip="Господарський процесуальний кодекс України (ред. з 15.12.2017); нормативно-правовий акт № 1798-XII від 06.11.1991" w:history="1">
        <w:r w:rsidRPr="00E81790">
          <w:rPr>
            <w:rStyle w:val="a4"/>
            <w:rFonts w:ascii="Times New Roman" w:hAnsi="Times New Roman" w:cs="Times New Roman"/>
            <w:color w:val="000000" w:themeColor="text1"/>
            <w:sz w:val="24"/>
            <w:szCs w:val="24"/>
            <w:u w:val="none"/>
          </w:rPr>
          <w:t>ст. 75 ГПК України</w:t>
        </w:r>
      </w:hyperlink>
      <w:r w:rsidRPr="00E81790">
        <w:rPr>
          <w:rFonts w:ascii="Times New Roman" w:hAnsi="Times New Roman" w:cs="Times New Roman"/>
          <w:color w:val="000000" w:themeColor="text1"/>
          <w:sz w:val="24"/>
          <w:szCs w:val="24"/>
        </w:rPr>
        <w:t xml:space="preserve"> в редакції, чинній з 15.12.2017.</w:t>
      </w:r>
    </w:p>
    <w:p w:rsidR="00F136A0" w:rsidRPr="00E81790" w:rsidRDefault="00743C21"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У разі наявності волевиявлення акціонера на здійснення в нього обов'язкового викупу акцій укладення договору викупу акцій для емітента є імперативним в силу закону, тоді як </w:t>
      </w:r>
      <w:r w:rsidR="00D55580" w:rsidRPr="00E81790">
        <w:rPr>
          <w:rFonts w:ascii="Times New Roman" w:hAnsi="Times New Roman" w:cs="Times New Roman"/>
          <w:color w:val="000000" w:themeColor="text1"/>
          <w:sz w:val="24"/>
          <w:szCs w:val="24"/>
        </w:rPr>
        <w:t>акціонерне товарис</w:t>
      </w:r>
      <w:r w:rsidR="009F4A34" w:rsidRPr="00E81790">
        <w:rPr>
          <w:rFonts w:ascii="Times New Roman" w:hAnsi="Times New Roman" w:cs="Times New Roman"/>
          <w:color w:val="000000" w:themeColor="text1"/>
          <w:sz w:val="24"/>
          <w:szCs w:val="24"/>
        </w:rPr>
        <w:t>тво</w:t>
      </w:r>
      <w:r w:rsidRPr="00E81790">
        <w:rPr>
          <w:rFonts w:ascii="Times New Roman" w:hAnsi="Times New Roman" w:cs="Times New Roman"/>
          <w:color w:val="000000" w:themeColor="text1"/>
          <w:sz w:val="24"/>
          <w:szCs w:val="24"/>
        </w:rPr>
        <w:t xml:space="preserve"> ухиляється від його укладення, права акціонера підлягають захисту в судовому порядку.</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Згідно з преамбулою до статті 6 параграфу 1 Конвенції про захист прав та свобод людини, згідно з рішенням Європейського суду з прав людини від 25 липня 2002 року у справі за заявою № 48553/99 "</w:t>
      </w:r>
      <w:proofErr w:type="spellStart"/>
      <w:r w:rsidRPr="00E81790">
        <w:rPr>
          <w:color w:val="000000" w:themeColor="text1"/>
        </w:rPr>
        <w:t>Совтрансавто</w:t>
      </w:r>
      <w:proofErr w:type="spellEnd"/>
      <w:r w:rsidRPr="00E81790">
        <w:rPr>
          <w:color w:val="000000" w:themeColor="text1"/>
        </w:rPr>
        <w:t>-Холдинг" проти України", а також згідно з рішенням Європейського суду з прав людини від 28 жовтня 1999 року у справі за заявою №28342/95 "</w:t>
      </w:r>
      <w:proofErr w:type="spellStart"/>
      <w:r w:rsidRPr="00E81790">
        <w:rPr>
          <w:color w:val="000000" w:themeColor="text1"/>
        </w:rPr>
        <w:t>Брумареску</w:t>
      </w:r>
      <w:proofErr w:type="spellEnd"/>
      <w:r w:rsidRPr="00E81790">
        <w:rPr>
          <w:color w:val="000000" w:themeColor="text1"/>
        </w:rPr>
        <w:t xml:space="preserve"> проти Румунії" зазначено, що існує встановлена судова практика конвенційних органів щодо визначення основним елементом верховенства права принципу правової визначеності, який передбачає серед іншого і те, що у будь-якому спорі рішення суду, яке вступило в законну силу, не може бути поставлено під сумнів.</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Як зазначає Європейський суд з прав людини, дотримання принципів законності, </w:t>
      </w:r>
      <w:proofErr w:type="spellStart"/>
      <w:r w:rsidRPr="00E81790">
        <w:rPr>
          <w:color w:val="000000" w:themeColor="text1"/>
        </w:rPr>
        <w:t>остаточності</w:t>
      </w:r>
      <w:proofErr w:type="spellEnd"/>
      <w:r w:rsidRPr="00E81790">
        <w:rPr>
          <w:color w:val="000000" w:themeColor="text1"/>
        </w:rPr>
        <w:t xml:space="preserve"> та незмінності судового рішення, а також принципів правової визначеності та "</w:t>
      </w:r>
      <w:proofErr w:type="spellStart"/>
      <w:r w:rsidRPr="00E81790">
        <w:rPr>
          <w:color w:val="000000" w:themeColor="text1"/>
        </w:rPr>
        <w:t>res</w:t>
      </w:r>
      <w:proofErr w:type="spellEnd"/>
      <w:r w:rsidRPr="00E81790">
        <w:rPr>
          <w:color w:val="000000" w:themeColor="text1"/>
        </w:rPr>
        <w:t xml:space="preserve"> </w:t>
      </w:r>
      <w:proofErr w:type="spellStart"/>
      <w:r w:rsidRPr="00E81790">
        <w:rPr>
          <w:color w:val="000000" w:themeColor="text1"/>
        </w:rPr>
        <w:t>judicata</w:t>
      </w:r>
      <w:proofErr w:type="spellEnd"/>
      <w:r w:rsidRPr="00E81790">
        <w:rPr>
          <w:color w:val="000000" w:themeColor="text1"/>
        </w:rPr>
        <w:t xml:space="preserve">" (остаточне рішення повноважного суду, яке вступило в силу, є обов'язковим для сторін спору і не може бути переглянуте) є обов'язковими елементами права на справедливий суд, передбаченого </w:t>
      </w:r>
      <w:hyperlink r:id="rId22" w:anchor="627815" w:tgtFrame="_blank" w:tooltip="Конвенція про захист прав людини і основоположних свобод; нормативно-правовий акт № ETS N 005 від 04.11.1950" w:history="1">
        <w:r w:rsidRPr="00E81790">
          <w:rPr>
            <w:rStyle w:val="a4"/>
            <w:color w:val="000000" w:themeColor="text1"/>
            <w:u w:val="none"/>
          </w:rPr>
          <w:t>статтею 6 Конвенції про захист прав людини і основоположних свобод</w:t>
        </w:r>
      </w:hyperlink>
      <w:r w:rsidRPr="00E81790">
        <w:rPr>
          <w:color w:val="000000" w:themeColor="text1"/>
        </w:rPr>
        <w:t>.</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Практика Європейського суду з прав людини підтверджує необхідність дотримання національними судами принципу правової визначеності та </w:t>
      </w:r>
      <w:proofErr w:type="spellStart"/>
      <w:r w:rsidRPr="00E81790">
        <w:rPr>
          <w:color w:val="000000" w:themeColor="text1"/>
        </w:rPr>
        <w:t>остаточності</w:t>
      </w:r>
      <w:proofErr w:type="spellEnd"/>
      <w:r w:rsidRPr="00E81790">
        <w:rPr>
          <w:color w:val="000000" w:themeColor="text1"/>
        </w:rPr>
        <w:t xml:space="preserve"> і незмінності судового рішення. Так, у своєму рішенні у справі "</w:t>
      </w:r>
      <w:proofErr w:type="spellStart"/>
      <w:r w:rsidRPr="00E81790">
        <w:rPr>
          <w:color w:val="000000" w:themeColor="text1"/>
        </w:rPr>
        <w:t>Кехайя</w:t>
      </w:r>
      <w:proofErr w:type="spellEnd"/>
      <w:r w:rsidRPr="00E81790">
        <w:rPr>
          <w:color w:val="000000" w:themeColor="text1"/>
        </w:rPr>
        <w:t xml:space="preserve"> та інші проти Болгарії" Європейський суд з прав людини зазначив, що на думку Суду, принцип, згідно з яким остаточне рішення є </w:t>
      </w:r>
      <w:proofErr w:type="spellStart"/>
      <w:r w:rsidRPr="00E81790">
        <w:rPr>
          <w:color w:val="000000" w:themeColor="text1"/>
        </w:rPr>
        <w:t>res</w:t>
      </w:r>
      <w:proofErr w:type="spellEnd"/>
      <w:r w:rsidRPr="00E81790">
        <w:rPr>
          <w:color w:val="000000" w:themeColor="text1"/>
        </w:rPr>
        <w:t xml:space="preserve"> </w:t>
      </w:r>
      <w:proofErr w:type="spellStart"/>
      <w:r w:rsidRPr="00E81790">
        <w:rPr>
          <w:color w:val="000000" w:themeColor="text1"/>
        </w:rPr>
        <w:t>judicata</w:t>
      </w:r>
      <w:proofErr w:type="spellEnd"/>
      <w:r w:rsidRPr="00E81790">
        <w:rPr>
          <w:color w:val="000000" w:themeColor="text1"/>
        </w:rPr>
        <w:t xml:space="preserve"> ("вирішена справа") і вирішує спір між сторонами остаточно, є основоположним елементом права на справедливий судовий розгляд, гарантованого </w:t>
      </w:r>
      <w:hyperlink r:id="rId23" w:anchor="627815" w:tgtFrame="_blank" w:tooltip="Конвенція про захист прав людини і основоположних свобод; нормативно-правовий акт № ETS N 005 від 04.11.1950" w:history="1">
        <w:r w:rsidRPr="00E81790">
          <w:rPr>
            <w:rStyle w:val="a4"/>
            <w:color w:val="000000" w:themeColor="text1"/>
            <w:u w:val="none"/>
          </w:rPr>
          <w:t>статтею 6 Конвенції про захист прав людини і основоположних свобод</w:t>
        </w:r>
      </w:hyperlink>
      <w:r w:rsidRPr="00E81790">
        <w:rPr>
          <w:color w:val="000000" w:themeColor="text1"/>
        </w:rPr>
        <w:t xml:space="preserve">. У цій справі Суд встановив, що повторне вирішення одного й того ж питання, яке вже було вирішено судом у іншій судовій справі, є порушенням принципу </w:t>
      </w:r>
      <w:proofErr w:type="spellStart"/>
      <w:r w:rsidRPr="00E81790">
        <w:rPr>
          <w:color w:val="000000" w:themeColor="text1"/>
        </w:rPr>
        <w:t>res</w:t>
      </w:r>
      <w:proofErr w:type="spellEnd"/>
      <w:r w:rsidRPr="00E81790">
        <w:rPr>
          <w:color w:val="000000" w:themeColor="text1"/>
        </w:rPr>
        <w:t xml:space="preserve"> </w:t>
      </w:r>
      <w:proofErr w:type="spellStart"/>
      <w:r w:rsidRPr="00E81790">
        <w:rPr>
          <w:color w:val="000000" w:themeColor="text1"/>
        </w:rPr>
        <w:t>judicata</w:t>
      </w:r>
      <w:proofErr w:type="spellEnd"/>
      <w:r w:rsidRPr="00E81790">
        <w:rPr>
          <w:color w:val="000000" w:themeColor="text1"/>
        </w:rPr>
        <w:t xml:space="preserve"> та принципу правової визначеності та, відповідно, права на справедливий суд. </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Крім того, аналогічних висновків Суд дійшов у справі "Рябих проти Російської Федерації". Зокрема, у рішенні у цій справі Суд вказав, що Конвенція повинна тлумачитися в світлі Преамбули до Конвенції, яка у відповідній частині проголошує, що законність є частиною спільної спадщини договірних держав. Одним з основоположних аспектів законності є принцип правової визначеності, який вимагає, серед іншого, щоб якщо суди винесли остаточне рішення з питання, то рішення не ставилося б під сумнів. Правова визначеність передбачає повагу принципу </w:t>
      </w:r>
      <w:proofErr w:type="spellStart"/>
      <w:r w:rsidRPr="00E81790">
        <w:rPr>
          <w:color w:val="000000" w:themeColor="text1"/>
        </w:rPr>
        <w:t>res</w:t>
      </w:r>
      <w:proofErr w:type="spellEnd"/>
      <w:r w:rsidRPr="00E81790">
        <w:rPr>
          <w:color w:val="000000" w:themeColor="text1"/>
        </w:rPr>
        <w:t xml:space="preserve"> </w:t>
      </w:r>
      <w:proofErr w:type="spellStart"/>
      <w:r w:rsidRPr="00E81790">
        <w:rPr>
          <w:color w:val="000000" w:themeColor="text1"/>
        </w:rPr>
        <w:t>judicata</w:t>
      </w:r>
      <w:proofErr w:type="spellEnd"/>
      <w:r w:rsidRPr="00E81790">
        <w:rPr>
          <w:color w:val="000000" w:themeColor="text1"/>
        </w:rPr>
        <w:t xml:space="preserve">, тобто принципу </w:t>
      </w:r>
      <w:proofErr w:type="spellStart"/>
      <w:r w:rsidRPr="00E81790">
        <w:rPr>
          <w:color w:val="000000" w:themeColor="text1"/>
        </w:rPr>
        <w:t>остаточності</w:t>
      </w:r>
      <w:proofErr w:type="spellEnd"/>
      <w:r w:rsidRPr="00E81790">
        <w:rPr>
          <w:color w:val="000000" w:themeColor="text1"/>
        </w:rPr>
        <w:t xml:space="preserve"> судових рішень.</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Враховуючи, що Вищий господарський суд України під час прийняття постанови у справі №914/2203/3, висловив позицію, що у позивача не виникло право на викуп акцій у зв'язку з прийняттям рішення загальних зборів, апеляційний господарський суд, постановляючи оскаржувану постанову, зробив протилежний висновок про те, що у позивача виникло право на викуп акцій у зв'язку з прийняттям рішення загальних зборів, чим порушив принцип правової визначеності та </w:t>
      </w:r>
      <w:proofErr w:type="spellStart"/>
      <w:r w:rsidRPr="00E81790">
        <w:rPr>
          <w:color w:val="000000" w:themeColor="text1"/>
        </w:rPr>
        <w:t>остаточності</w:t>
      </w:r>
      <w:proofErr w:type="spellEnd"/>
      <w:r w:rsidRPr="00E81790">
        <w:rPr>
          <w:color w:val="000000" w:themeColor="text1"/>
        </w:rPr>
        <w:t xml:space="preserve"> судових рішень.</w:t>
      </w:r>
    </w:p>
    <w:p w:rsidR="00743C21" w:rsidRPr="00E81790" w:rsidRDefault="001F5B7D" w:rsidP="004665BB">
      <w:pPr>
        <w:pStyle w:val="a3"/>
        <w:spacing w:before="0" w:beforeAutospacing="0" w:after="0" w:afterAutospacing="0"/>
        <w:ind w:firstLine="708"/>
        <w:jc w:val="both"/>
        <w:rPr>
          <w:color w:val="000000" w:themeColor="text1"/>
        </w:rPr>
      </w:pPr>
      <w:hyperlink r:id="rId24" w:tgtFrame="_blank" w:tooltip="Про акціонерні товариства; нормативно-правовий акт № 514-VI від 17.09.2008" w:history="1">
        <w:r w:rsidR="00743C21" w:rsidRPr="00E81790">
          <w:rPr>
            <w:rStyle w:val="a4"/>
            <w:color w:val="000000" w:themeColor="text1"/>
            <w:u w:val="none"/>
          </w:rPr>
          <w:t>Закон України "Про акціонерні товариства"</w:t>
        </w:r>
      </w:hyperlink>
      <w:r w:rsidR="00743C21" w:rsidRPr="00E81790">
        <w:rPr>
          <w:color w:val="000000" w:themeColor="text1"/>
        </w:rPr>
        <w:t xml:space="preserve"> (в редакції, чинній на 15.04.2014) встановлює різні правові механізми регулювання, які наведені у ст. </w:t>
      </w:r>
      <w:hyperlink r:id="rId25" w:anchor="672" w:tgtFrame="_blank" w:tooltip="Про акціонерні товариства; нормативно-правовий акт № 514-VI від 17.09.2008" w:history="1">
        <w:r w:rsidR="00743C21" w:rsidRPr="00E81790">
          <w:rPr>
            <w:rStyle w:val="a4"/>
            <w:color w:val="000000" w:themeColor="text1"/>
            <w:u w:val="none"/>
          </w:rPr>
          <w:t>68</w:t>
        </w:r>
      </w:hyperlink>
      <w:r w:rsidR="00743C21" w:rsidRPr="00E81790">
        <w:rPr>
          <w:color w:val="000000" w:themeColor="text1"/>
        </w:rPr>
        <w:t xml:space="preserve"> та ст. </w:t>
      </w:r>
      <w:hyperlink r:id="rId26" w:anchor="691" w:tgtFrame="_blank" w:tooltip="Про акціонерні товариства; нормативно-правовий акт № 514-VI від 17.09.2008" w:history="1">
        <w:r w:rsidR="00743C21" w:rsidRPr="00E81790">
          <w:rPr>
            <w:rStyle w:val="a4"/>
            <w:color w:val="000000" w:themeColor="text1"/>
            <w:u w:val="none"/>
          </w:rPr>
          <w:t>70</w:t>
        </w:r>
      </w:hyperlink>
      <w:r w:rsidR="00743C21" w:rsidRPr="00E81790">
        <w:rPr>
          <w:color w:val="000000" w:themeColor="text1"/>
        </w:rPr>
        <w:t xml:space="preserve"> цього </w:t>
      </w:r>
      <w:hyperlink r:id="rId27" w:anchor="691" w:tgtFrame="_blank" w:tooltip="Про акціонерні товариства; нормативно-правовий акт № 514-VI від 17.09.2008" w:history="1">
        <w:r w:rsidR="00743C21" w:rsidRPr="00E81790">
          <w:rPr>
            <w:rStyle w:val="a4"/>
            <w:color w:val="000000" w:themeColor="text1"/>
            <w:u w:val="none"/>
          </w:rPr>
          <w:t>закону</w:t>
        </w:r>
      </w:hyperlink>
      <w:r w:rsidR="00743C21" w:rsidRPr="00E81790">
        <w:rPr>
          <w:color w:val="000000" w:themeColor="text1"/>
        </w:rPr>
        <w:t xml:space="preserve">. </w:t>
      </w:r>
    </w:p>
    <w:p w:rsidR="00743C21" w:rsidRPr="00E81790" w:rsidRDefault="00743C21" w:rsidP="004665BB">
      <w:pPr>
        <w:pStyle w:val="a3"/>
        <w:spacing w:before="0" w:beforeAutospacing="0" w:after="0" w:afterAutospacing="0"/>
        <w:jc w:val="both"/>
        <w:rPr>
          <w:color w:val="000000" w:themeColor="text1"/>
        </w:rPr>
      </w:pPr>
      <w:r w:rsidRPr="00E81790">
        <w:rPr>
          <w:color w:val="000000" w:themeColor="text1"/>
        </w:rPr>
        <w:t xml:space="preserve">Позовні вимоги у справі, що розглядається, стосуються ситуації, яка регулюється нормами </w:t>
      </w:r>
      <w:hyperlink r:id="rId28" w:anchor="672" w:tgtFrame="_blank" w:tooltip="Про акціонерні товариства; нормативно-правовий акт № 514-VI від 17.09.2008" w:history="1">
        <w:r w:rsidRPr="00E81790">
          <w:rPr>
            <w:rStyle w:val="a4"/>
            <w:color w:val="000000" w:themeColor="text1"/>
            <w:u w:val="none"/>
          </w:rPr>
          <w:t>ст. 68 Закону України "Про акціонерні товариства"</w:t>
        </w:r>
      </w:hyperlink>
      <w:r w:rsidRPr="00E81790">
        <w:rPr>
          <w:color w:val="000000" w:themeColor="text1"/>
        </w:rPr>
        <w:t>.</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lastRenderedPageBreak/>
        <w:t xml:space="preserve">Пунктом 2 ч. 1 </w:t>
      </w:r>
      <w:hyperlink r:id="rId29" w:anchor="672" w:tgtFrame="_blank" w:tooltip="Про акціонерні товариства; нормативно-правовий акт № 514-VI від 17.09.2008" w:history="1">
        <w:r w:rsidRPr="00E81790">
          <w:rPr>
            <w:rStyle w:val="a4"/>
            <w:color w:val="000000" w:themeColor="text1"/>
            <w:u w:val="none"/>
          </w:rPr>
          <w:t>ст. 68 Закону України "Про акціонерні товариства"</w:t>
        </w:r>
      </w:hyperlink>
      <w:r w:rsidRPr="00E81790">
        <w:rPr>
          <w:color w:val="000000" w:themeColor="text1"/>
        </w:rPr>
        <w:t xml:space="preserve"> (в редакції, чинній на момент прийняття рішення загальних зборів від 15.04.2014 про попереднє схвалення значного правочину) передбачено, що кожний акціонер - власник простих акцій товариства має право вимагати здійснення обов'язкового викупу акціонерним товариством належних йому голосуючих акцій, якщо він зареєструвався для участі у загальних зборах та голосував проти прийняття загальними зборами рішення про вчинення товариством значного правочину.</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Відповідно до частини третьої </w:t>
      </w:r>
      <w:hyperlink r:id="rId30" w:anchor="691" w:tgtFrame="_blank" w:tooltip="Про акціонерні товариства; нормативно-правовий акт № 514-VI від 17.09.2008" w:history="1">
        <w:r w:rsidRPr="00E81790">
          <w:rPr>
            <w:rStyle w:val="a4"/>
            <w:color w:val="000000" w:themeColor="text1"/>
            <w:u w:val="none"/>
          </w:rPr>
          <w:t>статті 70 Закону України "Про акціонерні товариства"</w:t>
        </w:r>
      </w:hyperlink>
      <w:r w:rsidRPr="00E81790">
        <w:rPr>
          <w:color w:val="000000" w:themeColor="text1"/>
        </w:rPr>
        <w:t xml:space="preserve"> якщо на дату проведення загальних зборів неможливо визначити, які значні правочини вчинятимуться акціонерним товариством у ході поточної господарської діяльності, загальні збори можуть прийняти рішення про попереднє схвалення значних правочинів, які можуть вчинятися товариством протягом не більш як одного року з дати прийняття такого рішення, із зазначенням характеру правочинів та їх граничної сукупної вартості.</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Таким чином, обов'язковий викуп акцій може застосовуватися тільки тоді, коли загальними зборами прийнято рішення про вчинення значного правочину (а не попереднє схвалення значного правочину).</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У постанові Верховного Суду України від 21.05.2013 у справі №07/5026/796/2012 Верховний Суд України дійшов висновку про те, що </w:t>
      </w:r>
      <w:hyperlink r:id="rId31" w:tgtFrame="_blank" w:tooltip="Про акціонерні товариства; нормативно-правовий акт № 514-VI від 17.09.2008" w:history="1">
        <w:r w:rsidRPr="00E81790">
          <w:rPr>
            <w:rStyle w:val="a4"/>
            <w:color w:val="000000" w:themeColor="text1"/>
            <w:u w:val="none"/>
          </w:rPr>
          <w:t>Закон України "Про акціонерні товариства"</w:t>
        </w:r>
      </w:hyperlink>
      <w:r w:rsidRPr="00E81790">
        <w:rPr>
          <w:color w:val="000000" w:themeColor="text1"/>
        </w:rPr>
        <w:t xml:space="preserve"> (в редакції, чинній на момент прийняття рішення загальних зборів від 15.05.2014 про попереднє схвалення значного правочину) розмежовував поняття "рішення про вчинення значного правочину", а також "рішення про попереднє схвалення значних правочинів". При цьому, прийняття загальними зборами акціонерів рішення про вчинення значного правочину кореспондує виконавчому органу товариства обов'язок вчинити конкретний значний правочин. У той же час, прийняття загальними зборами акціонерів рішення про попереднє схвалення значних правочинів, які можуть ним вчинятися протягом року, означає лише згоду на можливість вчинення значних правочинів у майбутньому. І це не має наслідком реального настання юридичного факту, з яким закон пов'язує виникнення в акціонерного товариства обов'язку здійснити викуп акцій акціонера.</w:t>
      </w:r>
    </w:p>
    <w:p w:rsidR="00743C21" w:rsidRPr="00E81790" w:rsidRDefault="00743C21" w:rsidP="004665BB">
      <w:pPr>
        <w:pStyle w:val="a3"/>
        <w:spacing w:before="0" w:beforeAutospacing="0" w:after="0" w:afterAutospacing="0"/>
        <w:ind w:firstLine="708"/>
        <w:jc w:val="both"/>
        <w:rPr>
          <w:color w:val="000000" w:themeColor="text1"/>
        </w:rPr>
      </w:pPr>
      <w:r w:rsidRPr="00E81790">
        <w:rPr>
          <w:color w:val="000000" w:themeColor="text1"/>
        </w:rPr>
        <w:t xml:space="preserve">Виходячи з правової позиції, викладеної у постанові Верховного Суду України від 21.05.2013 у справі №07/5026/796/2012, висновок суду першої інстанції про те, що голосування проти прийняття загальними зборами рішення про попереднє схвалення значних правочинів відповідно до пункту другого частини першої </w:t>
      </w:r>
      <w:hyperlink r:id="rId32" w:anchor="672" w:tgtFrame="_blank" w:tooltip="Про акціонерні товариства; нормативно-правовий акт № 514-VI від 17.09.2008" w:history="1">
        <w:r w:rsidRPr="00E81790">
          <w:rPr>
            <w:rStyle w:val="a4"/>
            <w:color w:val="000000" w:themeColor="text1"/>
            <w:u w:val="none"/>
          </w:rPr>
          <w:t>статті 68 Закону України "Про акціонерні товариства"</w:t>
        </w:r>
      </w:hyperlink>
      <w:r w:rsidRPr="00E81790">
        <w:rPr>
          <w:color w:val="000000" w:themeColor="text1"/>
        </w:rPr>
        <w:t xml:space="preserve"> є підставою для здійснення обов'язкового викупу належних акціонерові акцій, якщо він цього вимагає, ґрунтується на неправильному застосуванні норм матеріального права.</w:t>
      </w:r>
    </w:p>
    <w:p w:rsidR="00743C21" w:rsidRPr="008F7BDB" w:rsidRDefault="00743C21" w:rsidP="004665BB">
      <w:pPr>
        <w:spacing w:after="0" w:line="240" w:lineRule="auto"/>
        <w:ind w:firstLine="708"/>
        <w:jc w:val="both"/>
        <w:rPr>
          <w:rFonts w:ascii="Times New Roman" w:hAnsi="Times New Roman" w:cs="Times New Roman"/>
          <w:i/>
          <w:color w:val="000000" w:themeColor="text1"/>
          <w:sz w:val="24"/>
          <w:szCs w:val="24"/>
          <w:u w:val="single"/>
        </w:rPr>
      </w:pPr>
      <w:r w:rsidRPr="008F7BDB">
        <w:rPr>
          <w:rFonts w:ascii="Times New Roman" w:hAnsi="Times New Roman" w:cs="Times New Roman"/>
          <w:i/>
          <w:color w:val="000000" w:themeColor="text1"/>
          <w:sz w:val="24"/>
          <w:szCs w:val="24"/>
          <w:u w:val="single"/>
        </w:rPr>
        <w:t>За таких обставин, висновок господарських судів щодо наявності підстав для часткового задоволення позову про визнання укладеним договору купівлі-продажу цінних паперів (викупу емітентом власних цінних паперів) є необґрунтованим.</w:t>
      </w:r>
    </w:p>
    <w:p w:rsidR="00743C21" w:rsidRPr="008F7BDB" w:rsidRDefault="00743C21" w:rsidP="004665BB">
      <w:pPr>
        <w:spacing w:after="0" w:line="240" w:lineRule="auto"/>
        <w:ind w:firstLine="708"/>
        <w:jc w:val="both"/>
        <w:rPr>
          <w:rFonts w:ascii="Times New Roman" w:eastAsia="Times New Roman" w:hAnsi="Times New Roman" w:cs="Times New Roman"/>
          <w:i/>
          <w:color w:val="000000" w:themeColor="text1"/>
          <w:sz w:val="24"/>
          <w:szCs w:val="24"/>
          <w:u w:val="single"/>
          <w:lang w:eastAsia="uk-UA"/>
        </w:rPr>
      </w:pPr>
      <w:r w:rsidRPr="008F7BDB">
        <w:rPr>
          <w:rFonts w:ascii="Times New Roman" w:hAnsi="Times New Roman" w:cs="Times New Roman"/>
          <w:i/>
          <w:color w:val="000000" w:themeColor="text1"/>
          <w:sz w:val="24"/>
          <w:szCs w:val="24"/>
          <w:u w:val="single"/>
        </w:rPr>
        <w:t xml:space="preserve">Враховуючи, що Верховний Суд дійшов висновку про необґрунтованість позовних вимог в повному обсязі, посилання скаржника у касаційній скарзі на незастосування судом апеляційної інстанції позовної давності є безпідставними, оскільки за змістом частини першої </w:t>
      </w:r>
      <w:hyperlink r:id="rId33" w:anchor="843302" w:tgtFrame="_blank" w:tooltip="Цивільний кодекс України; нормативно-правовий акт № 435-IV від 16.01.2003" w:history="1">
        <w:r w:rsidRPr="008F7BDB">
          <w:rPr>
            <w:rStyle w:val="a4"/>
            <w:rFonts w:ascii="Times New Roman" w:hAnsi="Times New Roman" w:cs="Times New Roman"/>
            <w:i/>
            <w:color w:val="000000" w:themeColor="text1"/>
            <w:sz w:val="24"/>
            <w:szCs w:val="24"/>
          </w:rPr>
          <w:t>ст. 261 ЦК України</w:t>
        </w:r>
      </w:hyperlink>
      <w:r w:rsidRPr="008F7BDB">
        <w:rPr>
          <w:rFonts w:ascii="Times New Roman" w:hAnsi="Times New Roman" w:cs="Times New Roman"/>
          <w:i/>
          <w:color w:val="000000" w:themeColor="text1"/>
          <w:sz w:val="24"/>
          <w:szCs w:val="24"/>
          <w:u w:val="single"/>
        </w:rPr>
        <w:t xml:space="preserve"> позовна давність застосовується лише за наявності порушеного права особи.</w:t>
      </w:r>
    </w:p>
    <w:p w:rsidR="00F136A0" w:rsidRPr="00E81790" w:rsidRDefault="00F136A0" w:rsidP="004665BB">
      <w:pPr>
        <w:spacing w:after="0" w:line="240" w:lineRule="auto"/>
        <w:jc w:val="both"/>
        <w:rPr>
          <w:rFonts w:ascii="Times New Roman" w:eastAsia="Times New Roman" w:hAnsi="Times New Roman" w:cs="Times New Roman"/>
          <w:b/>
          <w:color w:val="000000" w:themeColor="text1"/>
          <w:sz w:val="24"/>
          <w:szCs w:val="24"/>
          <w:u w:val="single"/>
          <w:lang w:eastAsia="uk-UA"/>
        </w:rPr>
      </w:pPr>
    </w:p>
    <w:p w:rsidR="000724F7" w:rsidRPr="00E81790" w:rsidRDefault="000724F7" w:rsidP="004665BB">
      <w:pPr>
        <w:spacing w:after="0" w:line="240" w:lineRule="auto"/>
        <w:ind w:firstLine="708"/>
        <w:jc w:val="both"/>
        <w:rPr>
          <w:rFonts w:ascii="Times New Roman" w:eastAsia="Times New Roman" w:hAnsi="Times New Roman" w:cs="Times New Roman"/>
          <w:b/>
          <w:color w:val="000000" w:themeColor="text1"/>
          <w:sz w:val="24"/>
          <w:szCs w:val="24"/>
          <w:lang w:eastAsia="uk-UA"/>
        </w:rPr>
      </w:pPr>
    </w:p>
    <w:p w:rsidR="000724F7" w:rsidRPr="00E81790" w:rsidRDefault="000724F7" w:rsidP="004665BB">
      <w:pPr>
        <w:spacing w:after="0" w:line="240" w:lineRule="auto"/>
        <w:ind w:firstLine="708"/>
        <w:jc w:val="both"/>
        <w:rPr>
          <w:rFonts w:ascii="Times New Roman" w:eastAsia="Times New Roman" w:hAnsi="Times New Roman" w:cs="Times New Roman"/>
          <w:b/>
          <w:color w:val="000000" w:themeColor="text1"/>
          <w:sz w:val="24"/>
          <w:szCs w:val="24"/>
          <w:lang w:eastAsia="uk-UA"/>
        </w:rPr>
      </w:pPr>
    </w:p>
    <w:p w:rsidR="00BD6386" w:rsidRPr="00C35F9B" w:rsidRDefault="00BD6386" w:rsidP="00C35F9B">
      <w:pPr>
        <w:pStyle w:val="a5"/>
        <w:numPr>
          <w:ilvl w:val="0"/>
          <w:numId w:val="1"/>
        </w:numPr>
        <w:spacing w:after="0" w:line="240" w:lineRule="auto"/>
        <w:jc w:val="center"/>
        <w:rPr>
          <w:rFonts w:ascii="Times New Roman" w:eastAsia="Times New Roman" w:hAnsi="Times New Roman" w:cs="Times New Roman"/>
          <w:b/>
          <w:color w:val="000000" w:themeColor="text1"/>
          <w:sz w:val="24"/>
          <w:szCs w:val="24"/>
          <w:u w:val="single"/>
          <w:lang w:eastAsia="uk-UA"/>
        </w:rPr>
      </w:pPr>
      <w:r w:rsidRPr="00C35F9B">
        <w:rPr>
          <w:rFonts w:ascii="Times New Roman" w:eastAsia="Times New Roman" w:hAnsi="Times New Roman" w:cs="Times New Roman"/>
          <w:b/>
          <w:color w:val="000000" w:themeColor="text1"/>
          <w:sz w:val="24"/>
          <w:szCs w:val="24"/>
          <w:u w:val="single"/>
          <w:lang w:eastAsia="uk-UA"/>
        </w:rPr>
        <w:t xml:space="preserve">Про </w:t>
      </w:r>
      <w:r w:rsidR="005F02B7" w:rsidRPr="00C35F9B">
        <w:rPr>
          <w:rFonts w:ascii="Times New Roman" w:eastAsia="Times New Roman" w:hAnsi="Times New Roman" w:cs="Times New Roman"/>
          <w:b/>
          <w:color w:val="000000" w:themeColor="text1"/>
          <w:sz w:val="24"/>
          <w:szCs w:val="24"/>
          <w:u w:val="single"/>
          <w:lang w:eastAsia="uk-UA"/>
        </w:rPr>
        <w:t xml:space="preserve">визначення оцінки предмету договору при </w:t>
      </w:r>
      <w:r w:rsidRPr="00C35F9B">
        <w:rPr>
          <w:rFonts w:ascii="Times New Roman" w:eastAsia="Times New Roman" w:hAnsi="Times New Roman" w:cs="Times New Roman"/>
          <w:b/>
          <w:color w:val="000000" w:themeColor="text1"/>
          <w:sz w:val="24"/>
          <w:szCs w:val="24"/>
          <w:u w:val="single"/>
          <w:lang w:eastAsia="uk-UA"/>
        </w:rPr>
        <w:t>визнанн</w:t>
      </w:r>
      <w:r w:rsidR="005F02B7" w:rsidRPr="00C35F9B">
        <w:rPr>
          <w:rFonts w:ascii="Times New Roman" w:eastAsia="Times New Roman" w:hAnsi="Times New Roman" w:cs="Times New Roman"/>
          <w:b/>
          <w:color w:val="000000" w:themeColor="text1"/>
          <w:sz w:val="24"/>
          <w:szCs w:val="24"/>
          <w:u w:val="single"/>
          <w:lang w:eastAsia="uk-UA"/>
        </w:rPr>
        <w:t>і</w:t>
      </w:r>
      <w:r w:rsidRPr="00C35F9B">
        <w:rPr>
          <w:rFonts w:ascii="Times New Roman" w:eastAsia="Times New Roman" w:hAnsi="Times New Roman" w:cs="Times New Roman"/>
          <w:b/>
          <w:color w:val="000000" w:themeColor="text1"/>
          <w:sz w:val="24"/>
          <w:szCs w:val="24"/>
          <w:u w:val="single"/>
          <w:lang w:eastAsia="uk-UA"/>
        </w:rPr>
        <w:t xml:space="preserve"> договору </w:t>
      </w:r>
      <w:r w:rsidR="008F7BDB" w:rsidRPr="00C35F9B">
        <w:rPr>
          <w:rFonts w:ascii="Times New Roman" w:eastAsia="Times New Roman" w:hAnsi="Times New Roman" w:cs="Times New Roman"/>
          <w:b/>
          <w:color w:val="000000" w:themeColor="text1"/>
          <w:sz w:val="24"/>
          <w:szCs w:val="24"/>
          <w:u w:val="single"/>
          <w:lang w:eastAsia="uk-UA"/>
        </w:rPr>
        <w:t xml:space="preserve">купівлі-продажу акцій </w:t>
      </w:r>
      <w:r w:rsidRPr="00C35F9B">
        <w:rPr>
          <w:rFonts w:ascii="Times New Roman" w:eastAsia="Times New Roman" w:hAnsi="Times New Roman" w:cs="Times New Roman"/>
          <w:b/>
          <w:color w:val="000000" w:themeColor="text1"/>
          <w:sz w:val="24"/>
          <w:szCs w:val="24"/>
          <w:u w:val="single"/>
          <w:lang w:eastAsia="uk-UA"/>
        </w:rPr>
        <w:t>укладеним</w:t>
      </w:r>
      <w:r w:rsidR="005F02B7" w:rsidRPr="00C35F9B">
        <w:rPr>
          <w:rFonts w:ascii="Times New Roman" w:eastAsia="Times New Roman" w:hAnsi="Times New Roman" w:cs="Times New Roman"/>
          <w:b/>
          <w:color w:val="000000" w:themeColor="text1"/>
          <w:sz w:val="24"/>
          <w:szCs w:val="24"/>
          <w:u w:val="single"/>
          <w:lang w:eastAsia="uk-UA"/>
        </w:rPr>
        <w:t xml:space="preserve"> в судовому порядку та вибору способу захисту порушеного права.</w:t>
      </w:r>
    </w:p>
    <w:p w:rsidR="004665BB" w:rsidRPr="00E81790" w:rsidRDefault="004665BB" w:rsidP="004665BB">
      <w:pPr>
        <w:spacing w:after="0" w:line="240" w:lineRule="auto"/>
        <w:ind w:firstLine="708"/>
        <w:jc w:val="center"/>
        <w:rPr>
          <w:rFonts w:ascii="Times New Roman" w:eastAsia="Times New Roman" w:hAnsi="Times New Roman" w:cs="Times New Roman"/>
          <w:b/>
          <w:color w:val="000000" w:themeColor="text1"/>
          <w:sz w:val="24"/>
          <w:szCs w:val="24"/>
          <w:u w:val="single"/>
          <w:lang w:eastAsia="uk-UA"/>
        </w:rPr>
      </w:pPr>
    </w:p>
    <w:p w:rsidR="005F02B7" w:rsidRPr="00E81790" w:rsidRDefault="00BD6386" w:rsidP="004665BB">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E81790">
        <w:rPr>
          <w:rFonts w:ascii="Times New Roman" w:eastAsia="Times New Roman" w:hAnsi="Times New Roman" w:cs="Times New Roman"/>
          <w:color w:val="000000" w:themeColor="text1"/>
          <w:sz w:val="24"/>
          <w:szCs w:val="24"/>
          <w:lang w:eastAsia="uk-UA"/>
        </w:rPr>
        <w:t>Верховним судом розглянута справа № 902/790/16 в якій позивач звернувся до суду з позовом про укладення договору про обов’язк</w:t>
      </w:r>
      <w:r w:rsidR="005F02B7" w:rsidRPr="00E81790">
        <w:rPr>
          <w:rFonts w:ascii="Times New Roman" w:eastAsia="Times New Roman" w:hAnsi="Times New Roman" w:cs="Times New Roman"/>
          <w:color w:val="000000" w:themeColor="text1"/>
          <w:sz w:val="24"/>
          <w:szCs w:val="24"/>
          <w:lang w:eastAsia="uk-UA"/>
        </w:rPr>
        <w:t>овий</w:t>
      </w:r>
      <w:r w:rsidRPr="00E81790">
        <w:rPr>
          <w:rFonts w:ascii="Times New Roman" w:eastAsia="Times New Roman" w:hAnsi="Times New Roman" w:cs="Times New Roman"/>
          <w:color w:val="000000" w:themeColor="text1"/>
          <w:sz w:val="24"/>
          <w:szCs w:val="24"/>
          <w:lang w:eastAsia="uk-UA"/>
        </w:rPr>
        <w:t xml:space="preserve"> </w:t>
      </w:r>
      <w:r w:rsidR="005F02B7" w:rsidRPr="00E81790">
        <w:rPr>
          <w:rFonts w:ascii="Times New Roman" w:eastAsia="Times New Roman" w:hAnsi="Times New Roman" w:cs="Times New Roman"/>
          <w:color w:val="000000" w:themeColor="text1"/>
          <w:sz w:val="24"/>
          <w:szCs w:val="24"/>
          <w:lang w:eastAsia="uk-UA"/>
        </w:rPr>
        <w:t>викуп простих іменних акцій після прийняття рішення про зміну типу акціонерного товариства(позивач голосував проти).</w:t>
      </w:r>
    </w:p>
    <w:p w:rsidR="005F02B7" w:rsidRPr="00E81790" w:rsidRDefault="005F02B7" w:rsidP="004665BB">
      <w:pPr>
        <w:pStyle w:val="a3"/>
        <w:spacing w:before="0" w:beforeAutospacing="0" w:after="0" w:afterAutospacing="0"/>
        <w:jc w:val="both"/>
        <w:rPr>
          <w:color w:val="000000" w:themeColor="text1"/>
        </w:rPr>
      </w:pPr>
      <w:r w:rsidRPr="00E81790">
        <w:rPr>
          <w:b/>
          <w:color w:val="000000" w:themeColor="text1"/>
        </w:rPr>
        <w:lastRenderedPageBreak/>
        <w:tab/>
      </w:r>
      <w:r w:rsidRPr="00E81790">
        <w:rPr>
          <w:color w:val="000000" w:themeColor="text1"/>
        </w:rPr>
        <w:t xml:space="preserve">В рамках розгляду даної справи місцевий господарський суд відмовляючи в задоволенні позову, виходив з того, що наглядова рада відповідача рішенням затвердила ринкову вартість акцій відповідача (згідно з проведеною оцінкою) і вказане рішення не оскаржене. Також, вказує на те, що звіт оцінювача про ринкову вартість однієї простої іменної акції відповідача, не оскаржено. Враховуючи вказане, а також те, що обраний позивачем спосіб захисту не відповідає вимогам законодавства та характеру його порушення, керуючись ст. ст. </w:t>
      </w:r>
      <w:hyperlink r:id="rId34" w:anchor="72" w:tgtFrame="_blank" w:tooltip="Про акціонерні товариства; нормативно-правовий акт № 514-VI від 17.09.2008" w:history="1">
        <w:r w:rsidRPr="00E81790">
          <w:rPr>
            <w:rStyle w:val="a4"/>
            <w:color w:val="000000" w:themeColor="text1"/>
            <w:u w:val="none"/>
          </w:rPr>
          <w:t>8</w:t>
        </w:r>
      </w:hyperlink>
      <w:r w:rsidRPr="00E81790">
        <w:rPr>
          <w:color w:val="000000" w:themeColor="text1"/>
        </w:rPr>
        <w:t xml:space="preserve">, </w:t>
      </w:r>
      <w:hyperlink r:id="rId35" w:anchor="672" w:tgtFrame="_blank" w:tooltip="Про акціонерні товариства; нормативно-правовий акт № 514-VI від 17.09.2008" w:history="1">
        <w:r w:rsidRPr="00E81790">
          <w:rPr>
            <w:rStyle w:val="a4"/>
            <w:color w:val="000000" w:themeColor="text1"/>
            <w:u w:val="none"/>
          </w:rPr>
          <w:t>68</w:t>
        </w:r>
      </w:hyperlink>
      <w:r w:rsidRPr="00E81790">
        <w:rPr>
          <w:color w:val="000000" w:themeColor="text1"/>
        </w:rPr>
        <w:t xml:space="preserve">, </w:t>
      </w:r>
      <w:hyperlink r:id="rId36" w:anchor="682" w:tgtFrame="_blank" w:tooltip="Про акціонерні товариства; нормативно-правовий акт № 514-VI від 17.09.2008" w:history="1">
        <w:r w:rsidRPr="00E81790">
          <w:rPr>
            <w:rStyle w:val="a4"/>
            <w:color w:val="000000" w:themeColor="text1"/>
            <w:u w:val="none"/>
          </w:rPr>
          <w:t>69 Закону України "Про акціонерні товариства"</w:t>
        </w:r>
      </w:hyperlink>
      <w:r w:rsidRPr="00E81790">
        <w:rPr>
          <w:color w:val="000000" w:themeColor="text1"/>
        </w:rPr>
        <w:t>, відмовив у задоволенні позову.</w:t>
      </w:r>
    </w:p>
    <w:p w:rsidR="005F02B7" w:rsidRPr="00E81790" w:rsidRDefault="005F02B7" w:rsidP="004665BB">
      <w:pPr>
        <w:pStyle w:val="a3"/>
        <w:spacing w:before="0" w:beforeAutospacing="0" w:after="0" w:afterAutospacing="0"/>
        <w:ind w:firstLine="708"/>
        <w:jc w:val="both"/>
        <w:rPr>
          <w:color w:val="000000" w:themeColor="text1"/>
        </w:rPr>
      </w:pPr>
      <w:r w:rsidRPr="00E81790">
        <w:rPr>
          <w:color w:val="000000" w:themeColor="text1"/>
        </w:rPr>
        <w:t>Щодо доводів відповідача про те, що звіт про незалежну оцінку пакету акцій товариства, виконаний суб'єктом оціночної діяльності підприємцем, ніким не оскаржений та підлягає обов'язковому застосуванню, то необхідно зазначити таке.</w:t>
      </w:r>
    </w:p>
    <w:p w:rsidR="005F02B7" w:rsidRPr="00E81790" w:rsidRDefault="005F02B7" w:rsidP="004665BB">
      <w:pPr>
        <w:pStyle w:val="a3"/>
        <w:spacing w:before="0" w:beforeAutospacing="0" w:after="0" w:afterAutospacing="0"/>
        <w:jc w:val="both"/>
        <w:rPr>
          <w:color w:val="000000" w:themeColor="text1"/>
        </w:rPr>
      </w:pPr>
      <w:r w:rsidRPr="00E81790">
        <w:rPr>
          <w:color w:val="000000" w:themeColor="text1"/>
        </w:rPr>
        <w:t>Звіт по оцінку майна (акцій) є документом, який фіксує дії суб'єкта оціночної діяльності - суб'єкта господарювання щодо оцінки майна, здійснювані ним у певному порядку та спрямовані на виконання його професійних обов'язків, визначених законом і встановлених відповідним договором.</w:t>
      </w:r>
    </w:p>
    <w:p w:rsidR="005F02B7" w:rsidRPr="00E81790" w:rsidRDefault="005F02B7" w:rsidP="004665BB">
      <w:pPr>
        <w:pStyle w:val="a3"/>
        <w:spacing w:before="0" w:beforeAutospacing="0" w:after="0" w:afterAutospacing="0"/>
        <w:ind w:firstLine="708"/>
        <w:jc w:val="both"/>
        <w:rPr>
          <w:color w:val="000000" w:themeColor="text1"/>
        </w:rPr>
      </w:pPr>
      <w:r w:rsidRPr="00E81790">
        <w:rPr>
          <w:color w:val="000000" w:themeColor="text1"/>
        </w:rPr>
        <w:t>Звіт про оцінку майна (акцій) не створює жодних правових наслідків для учасників правовідносин з оцінки майна, а лише відображає та підтверджує зроблені суб'єктом оціночної діяльності - суб'єктом господарювання висновки і його дії щодо реалізації своєї практичної діяльності.</w:t>
      </w:r>
    </w:p>
    <w:p w:rsidR="005F02B7" w:rsidRPr="00E81790" w:rsidRDefault="005F02B7" w:rsidP="004665BB">
      <w:pPr>
        <w:pStyle w:val="a3"/>
        <w:spacing w:before="0" w:beforeAutospacing="0" w:after="0" w:afterAutospacing="0"/>
        <w:ind w:firstLine="708"/>
        <w:jc w:val="both"/>
        <w:rPr>
          <w:color w:val="000000" w:themeColor="text1"/>
        </w:rPr>
      </w:pPr>
      <w:r w:rsidRPr="00E81790">
        <w:rPr>
          <w:color w:val="000000" w:themeColor="text1"/>
        </w:rPr>
        <w:t>Встановлена правова природа звіту про оцінку майна унеможливлює здійснення судового розгляду щодо застосування до нього наслідків, пов'язаних зі скасуванням юридичних актів чи визнанням недійсними правочинів (аналогічна правова позиція викладена у постанові Великої Палати Верховного Суду від 13.03.2018 у справі № 914/881/17).</w:t>
      </w:r>
    </w:p>
    <w:p w:rsidR="005F02B7" w:rsidRPr="00E81790" w:rsidRDefault="005F02B7" w:rsidP="004665BB">
      <w:pPr>
        <w:pStyle w:val="a3"/>
        <w:spacing w:before="0" w:beforeAutospacing="0" w:after="0" w:afterAutospacing="0"/>
        <w:ind w:firstLine="708"/>
        <w:jc w:val="both"/>
        <w:rPr>
          <w:color w:val="000000" w:themeColor="text1"/>
        </w:rPr>
      </w:pPr>
      <w:r w:rsidRPr="00E81790">
        <w:rPr>
          <w:color w:val="000000" w:themeColor="text1"/>
        </w:rPr>
        <w:t>Отже, не оскарження вказаного звіту чи його чинність не свідчить про те, що він повинен братися судами до уваги, як беззаперечний доказ. Крім того, апеляційним судом було встановлено, що таким звітом була затверджена не ринкова, а номінальна вартість акцій.</w:t>
      </w:r>
    </w:p>
    <w:p w:rsidR="005F02B7" w:rsidRPr="00E81790" w:rsidRDefault="00B64AE9" w:rsidP="004665BB">
      <w:pPr>
        <w:pStyle w:val="a3"/>
        <w:spacing w:before="0" w:beforeAutospacing="0" w:after="0" w:afterAutospacing="0"/>
        <w:ind w:firstLine="708"/>
        <w:jc w:val="both"/>
        <w:rPr>
          <w:color w:val="000000" w:themeColor="text1"/>
        </w:rPr>
      </w:pPr>
      <w:r w:rsidRPr="00E81790">
        <w:rPr>
          <w:color w:val="000000" w:themeColor="text1"/>
        </w:rPr>
        <w:t>Також, Верховним судом встановлено н</w:t>
      </w:r>
      <w:r w:rsidR="005F02B7" w:rsidRPr="00E81790">
        <w:rPr>
          <w:color w:val="000000" w:themeColor="text1"/>
        </w:rPr>
        <w:t>едоречн</w:t>
      </w:r>
      <w:r w:rsidRPr="00E81790">
        <w:rPr>
          <w:color w:val="000000" w:themeColor="text1"/>
        </w:rPr>
        <w:t xml:space="preserve">ість посилання </w:t>
      </w:r>
      <w:r w:rsidR="005F02B7" w:rsidRPr="00E81790">
        <w:rPr>
          <w:color w:val="000000" w:themeColor="text1"/>
        </w:rPr>
        <w:t>відповідача на те, що позивачем було обрано неналежний спосіб захисту, з огляду на таке.</w:t>
      </w:r>
    </w:p>
    <w:p w:rsidR="005F02B7" w:rsidRPr="00E81790" w:rsidRDefault="005F02B7" w:rsidP="004665BB">
      <w:pPr>
        <w:pStyle w:val="a3"/>
        <w:spacing w:before="0" w:beforeAutospacing="0" w:after="0" w:afterAutospacing="0"/>
        <w:ind w:firstLine="708"/>
        <w:jc w:val="both"/>
        <w:rPr>
          <w:color w:val="000000" w:themeColor="text1"/>
        </w:rPr>
      </w:pPr>
      <w:r w:rsidRPr="00E81790">
        <w:rPr>
          <w:color w:val="000000" w:themeColor="text1"/>
        </w:rPr>
        <w:t>Згідно зі ст. 13 Конвенції</w:t>
      </w:r>
      <w:hyperlink r:id="rId37" w:tgtFrame="_blank" w:tooltip="Конвенція про захист прав людини і основоположних свобод; нормативно-правовий акт № ETS N 005 від 04.11.1950" w:history="1">
        <w:r w:rsidR="00B64AE9" w:rsidRPr="00E81790">
          <w:rPr>
            <w:rStyle w:val="a4"/>
            <w:color w:val="000000" w:themeColor="text1"/>
            <w:u w:val="none"/>
          </w:rPr>
          <w:t xml:space="preserve"> про захист прав людини і основоположних свобод</w:t>
        </w:r>
      </w:hyperlink>
      <w:r w:rsidRPr="00E81790">
        <w:rPr>
          <w:color w:val="000000" w:themeColor="text1"/>
        </w:rPr>
        <w:t xml:space="preserve"> кожен, чиї права та свободи, визнані в цій Конвенції</w:t>
      </w:r>
      <w:hyperlink r:id="rId38" w:tgtFrame="_blank" w:tooltip="Конвенція про захист прав людини і основоположних свобод; нормативно-правовий акт № ETS N 005 від 04.11.1950" w:history="1">
        <w:r w:rsidR="00B64AE9" w:rsidRPr="00E81790">
          <w:rPr>
            <w:rStyle w:val="a4"/>
            <w:color w:val="000000" w:themeColor="text1"/>
            <w:u w:val="none"/>
          </w:rPr>
          <w:t xml:space="preserve"> про захист прав людини і основоположних свобод</w:t>
        </w:r>
      </w:hyperlink>
      <w:r w:rsidRPr="00E81790">
        <w:rPr>
          <w:color w:val="000000" w:themeColor="text1"/>
        </w:rPr>
        <w:t>, було порушено, має право на ефективний засіб юридичного захисту в національному органі, навіть якщо таке порушення було вчинене особами, які здійснювали свої офіційні повноваження.</w:t>
      </w:r>
    </w:p>
    <w:p w:rsidR="005F02B7" w:rsidRPr="00E81790" w:rsidRDefault="005F02B7" w:rsidP="004665BB">
      <w:pPr>
        <w:pStyle w:val="a3"/>
        <w:spacing w:before="0" w:beforeAutospacing="0" w:after="0" w:afterAutospacing="0"/>
        <w:ind w:firstLine="708"/>
        <w:jc w:val="both"/>
        <w:rPr>
          <w:color w:val="000000" w:themeColor="text1"/>
        </w:rPr>
      </w:pPr>
      <w:r w:rsidRPr="00E81790">
        <w:rPr>
          <w:color w:val="000000" w:themeColor="text1"/>
        </w:rPr>
        <w:t xml:space="preserve">З аналізу ст. ст. </w:t>
      </w:r>
      <w:hyperlink r:id="rId39" w:anchor="843044" w:tgtFrame="_blank" w:tooltip="Цивільний кодекс України; нормативно-правовий акт № 435-IV від 16.01.2003" w:history="1">
        <w:r w:rsidRPr="00E81790">
          <w:rPr>
            <w:rStyle w:val="a4"/>
            <w:color w:val="000000" w:themeColor="text1"/>
            <w:u w:val="none"/>
          </w:rPr>
          <w:t>13</w:t>
        </w:r>
      </w:hyperlink>
      <w:r w:rsidRPr="00E81790">
        <w:rPr>
          <w:color w:val="000000" w:themeColor="text1"/>
        </w:rPr>
        <w:t xml:space="preserve">, </w:t>
      </w:r>
      <w:hyperlink r:id="rId40" w:anchor="843046" w:tgtFrame="_blank" w:tooltip="Цивільний кодекс України; нормативно-правовий акт № 435-IV від 16.01.2003" w:history="1">
        <w:r w:rsidRPr="00E81790">
          <w:rPr>
            <w:rStyle w:val="a4"/>
            <w:color w:val="000000" w:themeColor="text1"/>
            <w:u w:val="none"/>
          </w:rPr>
          <w:t>15</w:t>
        </w:r>
      </w:hyperlink>
      <w:r w:rsidRPr="00E81790">
        <w:rPr>
          <w:color w:val="000000" w:themeColor="text1"/>
        </w:rPr>
        <w:t xml:space="preserve">, </w:t>
      </w:r>
      <w:hyperlink r:id="rId41" w:anchor="843047" w:tgtFrame="_blank" w:tooltip="Цивільний кодекс України; нормативно-правовий акт № 435-IV від 16.01.2003" w:history="1">
        <w:r w:rsidRPr="00E81790">
          <w:rPr>
            <w:rStyle w:val="a4"/>
            <w:color w:val="000000" w:themeColor="text1"/>
            <w:u w:val="none"/>
          </w:rPr>
          <w:t>16 ЦК України</w:t>
        </w:r>
      </w:hyperlink>
      <w:r w:rsidRPr="00E81790">
        <w:rPr>
          <w:color w:val="000000" w:themeColor="text1"/>
        </w:rPr>
        <w:t xml:space="preserve"> вбачається, що право на захист - це юридично закріплена можливість особи використати заходи правоохоронного характеру для поновлення порушеного права і припинення дій, які порушують це право. </w:t>
      </w:r>
    </w:p>
    <w:p w:rsidR="005F02B7" w:rsidRPr="00E81790" w:rsidRDefault="005F02B7" w:rsidP="004665BB">
      <w:pPr>
        <w:pStyle w:val="a3"/>
        <w:spacing w:before="0" w:beforeAutospacing="0" w:after="0" w:afterAutospacing="0"/>
        <w:ind w:firstLine="708"/>
        <w:jc w:val="both"/>
        <w:rPr>
          <w:color w:val="000000" w:themeColor="text1"/>
        </w:rPr>
      </w:pPr>
      <w:r w:rsidRPr="00E81790">
        <w:rPr>
          <w:color w:val="000000" w:themeColor="text1"/>
        </w:rPr>
        <w:t xml:space="preserve">Частиною 2 </w:t>
      </w:r>
      <w:hyperlink r:id="rId42" w:anchor="843047" w:tgtFrame="_blank" w:tooltip="Цивільний кодекс України; нормативно-правовий акт № 435-IV від 16.01.2003" w:history="1">
        <w:r w:rsidRPr="00E81790">
          <w:rPr>
            <w:rStyle w:val="a4"/>
            <w:color w:val="000000" w:themeColor="text1"/>
            <w:u w:val="none"/>
          </w:rPr>
          <w:t>ст. 16 ЦК України</w:t>
        </w:r>
      </w:hyperlink>
      <w:r w:rsidRPr="00E81790">
        <w:rPr>
          <w:color w:val="000000" w:themeColor="text1"/>
        </w:rPr>
        <w:t xml:space="preserve"> передбачено перелік способів захисту цивільних прав, які мають універсальний характер та можуть застосовуватися до всіх чи більшості суб'єктивних прав. Разом з тим, законодавцем передбачено, що такий перелік не є вичерпним та надано право суду захистити цивільне право або інтерес особи іншим способом, що встановлений договором або законом чи судом у визначених законом випадках (ч. 3 ст. 16). Особа, законне право або інтерес якої порушено, може скористатися можливістю вибору між декількома способами захисту. Якщо спеціальні норми права визначають конкретні заходи з урахуванням специфіки порушеного права та характеру правопорушення, особа вправі скористатися такими способами захисту. Належний спосіб захисту, виходячи із застосування спеціальної норми права, повинен забезпечити ефективне використання даної норми у її практичному застосуванні - гарантувати особі спосіб відновлення порушеного права або можливість отримання нею відповідного відшкодування.</w:t>
      </w:r>
    </w:p>
    <w:p w:rsidR="005F02B7" w:rsidRPr="00E81790" w:rsidRDefault="005F02B7" w:rsidP="004665BB">
      <w:pPr>
        <w:pStyle w:val="a3"/>
        <w:spacing w:before="0" w:beforeAutospacing="0" w:after="0" w:afterAutospacing="0"/>
        <w:ind w:firstLine="708"/>
        <w:jc w:val="both"/>
        <w:rPr>
          <w:color w:val="000000" w:themeColor="text1"/>
        </w:rPr>
      </w:pPr>
      <w:r w:rsidRPr="00E81790">
        <w:rPr>
          <w:color w:val="000000" w:themeColor="text1"/>
        </w:rPr>
        <w:t>Правосуддя за своєю суттю визнається таким лише за умови, що воно відповідає вимогам справедливості і забезпечує ефективне поновлення в правах (рішення Конституційного Суду України від 30.01.2003).</w:t>
      </w:r>
    </w:p>
    <w:p w:rsidR="005F02B7" w:rsidRPr="00E81790" w:rsidRDefault="005F02B7" w:rsidP="004665BB">
      <w:pPr>
        <w:pStyle w:val="a3"/>
        <w:spacing w:before="0" w:beforeAutospacing="0" w:after="0" w:afterAutospacing="0"/>
        <w:ind w:firstLine="708"/>
        <w:jc w:val="both"/>
      </w:pPr>
      <w:r w:rsidRPr="00E81790">
        <w:rPr>
          <w:color w:val="000000" w:themeColor="text1"/>
        </w:rPr>
        <w:lastRenderedPageBreak/>
        <w:t>Таким чином, позивачем правомірно було обрано такий спосіб захисту (про визнання договору укладеним), який забезпечує поновлення порушеного його права, про що правомірно вказано апеляційним судом</w:t>
      </w:r>
      <w:r w:rsidRPr="00E81790">
        <w:t>.</w:t>
      </w:r>
    </w:p>
    <w:p w:rsidR="005F02B7" w:rsidRPr="00E81790" w:rsidRDefault="005F02B7" w:rsidP="004665BB">
      <w:pPr>
        <w:pStyle w:val="a3"/>
        <w:spacing w:before="0" w:beforeAutospacing="0" w:after="0" w:afterAutospacing="0"/>
        <w:ind w:firstLine="708"/>
        <w:jc w:val="both"/>
        <w:rPr>
          <w:color w:val="000000" w:themeColor="text1"/>
        </w:rPr>
      </w:pPr>
    </w:p>
    <w:p w:rsidR="00F42DB7" w:rsidRPr="00C35F9B" w:rsidRDefault="00F010CA" w:rsidP="00C35F9B">
      <w:pPr>
        <w:pStyle w:val="a5"/>
        <w:numPr>
          <w:ilvl w:val="0"/>
          <w:numId w:val="1"/>
        </w:numPr>
        <w:spacing w:after="0" w:line="240" w:lineRule="auto"/>
        <w:jc w:val="center"/>
        <w:rPr>
          <w:rFonts w:ascii="Times New Roman" w:eastAsia="Times New Roman" w:hAnsi="Times New Roman" w:cs="Times New Roman"/>
          <w:b/>
          <w:color w:val="000000" w:themeColor="text1"/>
          <w:sz w:val="24"/>
          <w:szCs w:val="24"/>
          <w:u w:val="single"/>
          <w:lang w:eastAsia="uk-UA"/>
        </w:rPr>
      </w:pPr>
      <w:r w:rsidRPr="00C35F9B">
        <w:rPr>
          <w:rFonts w:ascii="Times New Roman" w:eastAsia="Times New Roman" w:hAnsi="Times New Roman" w:cs="Times New Roman"/>
          <w:b/>
          <w:color w:val="000000" w:themeColor="text1"/>
          <w:sz w:val="24"/>
          <w:szCs w:val="24"/>
          <w:u w:val="single"/>
          <w:lang w:eastAsia="uk-UA"/>
        </w:rPr>
        <w:t>Щодо підстав для вимоги примусового викупу акцій особами, що здійснюють контроль за наслідками збільшення статутного капіталу акціонерного товариства.</w:t>
      </w:r>
    </w:p>
    <w:p w:rsidR="00F42DB7" w:rsidRPr="00E81790" w:rsidRDefault="00F42DB7" w:rsidP="004665BB">
      <w:pPr>
        <w:spacing w:after="0" w:line="240" w:lineRule="auto"/>
        <w:jc w:val="center"/>
        <w:rPr>
          <w:rFonts w:ascii="Times New Roman" w:eastAsia="Times New Roman" w:hAnsi="Times New Roman" w:cs="Times New Roman"/>
          <w:b/>
          <w:color w:val="000000" w:themeColor="text1"/>
          <w:sz w:val="24"/>
          <w:szCs w:val="24"/>
          <w:u w:val="single"/>
          <w:lang w:eastAsia="uk-UA"/>
        </w:rPr>
      </w:pPr>
    </w:p>
    <w:p w:rsidR="00B74519" w:rsidRPr="00E81790" w:rsidRDefault="00B74519"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 xml:space="preserve">Так Верховний суд у </w:t>
      </w:r>
      <w:r w:rsidR="00F010CA" w:rsidRPr="00E81790">
        <w:rPr>
          <w:rFonts w:ascii="Times New Roman" w:hAnsi="Times New Roman" w:cs="Times New Roman"/>
          <w:color w:val="000000" w:themeColor="text1"/>
          <w:sz w:val="24"/>
          <w:szCs w:val="24"/>
        </w:rPr>
        <w:t xml:space="preserve">справі №  910/23703/16 </w:t>
      </w:r>
      <w:r w:rsidR="00C35F9B">
        <w:rPr>
          <w:rFonts w:ascii="Times New Roman" w:hAnsi="Times New Roman" w:cs="Times New Roman"/>
          <w:color w:val="000000" w:themeColor="text1"/>
          <w:sz w:val="24"/>
          <w:szCs w:val="24"/>
        </w:rPr>
        <w:t>дійшов висновку</w:t>
      </w:r>
      <w:r w:rsidR="00F010CA" w:rsidRPr="00E81790">
        <w:rPr>
          <w:rFonts w:ascii="Times New Roman" w:hAnsi="Times New Roman" w:cs="Times New Roman"/>
          <w:color w:val="000000" w:themeColor="text1"/>
          <w:sz w:val="24"/>
          <w:szCs w:val="24"/>
        </w:rPr>
        <w:t>, що з</w:t>
      </w:r>
      <w:r w:rsidRPr="00E81790">
        <w:rPr>
          <w:rFonts w:ascii="Times New Roman" w:hAnsi="Times New Roman" w:cs="Times New Roman"/>
          <w:color w:val="000000" w:themeColor="text1"/>
          <w:sz w:val="24"/>
          <w:szCs w:val="24"/>
        </w:rPr>
        <w:t xml:space="preserve">більшення розміру статутного капіталу не є підставою для здійснення </w:t>
      </w:r>
      <w:r w:rsidR="00F010CA" w:rsidRPr="00E81790">
        <w:rPr>
          <w:rFonts w:ascii="Times New Roman" w:hAnsi="Times New Roman" w:cs="Times New Roman"/>
          <w:color w:val="000000" w:themeColor="text1"/>
          <w:sz w:val="24"/>
          <w:szCs w:val="24"/>
        </w:rPr>
        <w:t>«</w:t>
      </w:r>
      <w:proofErr w:type="spellStart"/>
      <w:r w:rsidRPr="00E81790">
        <w:rPr>
          <w:rFonts w:ascii="Times New Roman" w:hAnsi="Times New Roman" w:cs="Times New Roman"/>
          <w:color w:val="000000" w:themeColor="text1"/>
          <w:sz w:val="24"/>
          <w:szCs w:val="24"/>
        </w:rPr>
        <w:t>селл</w:t>
      </w:r>
      <w:proofErr w:type="spellEnd"/>
      <w:r w:rsidR="00FA6FC6" w:rsidRPr="00E81790">
        <w:rPr>
          <w:rFonts w:ascii="Times New Roman" w:hAnsi="Times New Roman" w:cs="Times New Roman"/>
          <w:color w:val="000000" w:themeColor="text1"/>
          <w:sz w:val="24"/>
          <w:szCs w:val="24"/>
        </w:rPr>
        <w:t xml:space="preserve"> аут</w:t>
      </w:r>
      <w:r w:rsidR="00F010CA" w:rsidRPr="00E81790">
        <w:rPr>
          <w:rFonts w:ascii="Times New Roman" w:hAnsi="Times New Roman" w:cs="Times New Roman"/>
          <w:color w:val="000000" w:themeColor="text1"/>
          <w:sz w:val="24"/>
          <w:szCs w:val="24"/>
        </w:rPr>
        <w:t>»</w:t>
      </w:r>
      <w:r w:rsidRPr="00E81790">
        <w:rPr>
          <w:rFonts w:ascii="Times New Roman" w:hAnsi="Times New Roman" w:cs="Times New Roman"/>
          <w:color w:val="000000" w:themeColor="text1"/>
          <w:sz w:val="24"/>
          <w:szCs w:val="24"/>
        </w:rPr>
        <w:t xml:space="preserve"> коли афілійовані особи в сукупності здійснювали контроль</w:t>
      </w:r>
      <w:r w:rsidR="00F010CA" w:rsidRPr="00E81790">
        <w:rPr>
          <w:rFonts w:ascii="Times New Roman" w:hAnsi="Times New Roman" w:cs="Times New Roman"/>
          <w:color w:val="000000" w:themeColor="text1"/>
          <w:sz w:val="24"/>
          <w:szCs w:val="24"/>
        </w:rPr>
        <w:t xml:space="preserve"> до моменту збільшення статутного капіталу акц</w:t>
      </w:r>
      <w:r w:rsidR="00FA6FC6" w:rsidRPr="00E81790">
        <w:rPr>
          <w:rFonts w:ascii="Times New Roman" w:hAnsi="Times New Roman" w:cs="Times New Roman"/>
          <w:color w:val="000000" w:themeColor="text1"/>
          <w:sz w:val="24"/>
          <w:szCs w:val="24"/>
        </w:rPr>
        <w:t>іонерного товар</w:t>
      </w:r>
      <w:r w:rsidR="00F010CA" w:rsidRPr="00E81790">
        <w:rPr>
          <w:rFonts w:ascii="Times New Roman" w:hAnsi="Times New Roman" w:cs="Times New Roman"/>
          <w:color w:val="000000" w:themeColor="text1"/>
          <w:sz w:val="24"/>
          <w:szCs w:val="24"/>
        </w:rPr>
        <w:t>и</w:t>
      </w:r>
      <w:r w:rsidR="00FA6FC6" w:rsidRPr="00E81790">
        <w:rPr>
          <w:rFonts w:ascii="Times New Roman" w:hAnsi="Times New Roman" w:cs="Times New Roman"/>
          <w:color w:val="000000" w:themeColor="text1"/>
          <w:sz w:val="24"/>
          <w:szCs w:val="24"/>
        </w:rPr>
        <w:t>с</w:t>
      </w:r>
      <w:r w:rsidR="00F010CA" w:rsidRPr="00E81790">
        <w:rPr>
          <w:rFonts w:ascii="Times New Roman" w:hAnsi="Times New Roman" w:cs="Times New Roman"/>
          <w:color w:val="000000" w:themeColor="text1"/>
          <w:sz w:val="24"/>
          <w:szCs w:val="24"/>
        </w:rPr>
        <w:t>тва</w:t>
      </w:r>
      <w:r w:rsidRPr="00E81790">
        <w:rPr>
          <w:rFonts w:ascii="Times New Roman" w:hAnsi="Times New Roman" w:cs="Times New Roman"/>
          <w:color w:val="000000" w:themeColor="text1"/>
          <w:sz w:val="24"/>
          <w:szCs w:val="24"/>
        </w:rPr>
        <w:t xml:space="preserve">. </w:t>
      </w:r>
    </w:p>
    <w:p w:rsidR="00B74519" w:rsidRPr="00E81790" w:rsidRDefault="00B74519" w:rsidP="004665BB">
      <w:pPr>
        <w:spacing w:after="0" w:line="240" w:lineRule="auto"/>
        <w:ind w:firstLine="708"/>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Спір у справі стосується питання придбання акцій товариства за наслідками придбання контрольного пакета акцій в порядку, визначеному </w:t>
      </w:r>
      <w:hyperlink r:id="rId43" w:anchor="1741" w:tgtFrame="_blank" w:tooltip="Про акціонерні товариства; нормативно-правовий акт № 514-VI від 17.09.2008" w:history="1">
        <w:r w:rsidRPr="00E81790">
          <w:rPr>
            <w:rStyle w:val="a4"/>
            <w:rFonts w:ascii="Times New Roman" w:hAnsi="Times New Roman" w:cs="Times New Roman"/>
            <w:color w:val="000000" w:themeColor="text1"/>
            <w:sz w:val="24"/>
            <w:szCs w:val="24"/>
            <w:u w:val="none"/>
          </w:rPr>
          <w:t>ст.65 Закону України "Про акціонерні товариства"</w:t>
        </w:r>
      </w:hyperlink>
      <w:r w:rsidRPr="00E81790">
        <w:rPr>
          <w:rFonts w:ascii="Times New Roman" w:hAnsi="Times New Roman" w:cs="Times New Roman"/>
          <w:color w:val="000000" w:themeColor="text1"/>
          <w:sz w:val="24"/>
          <w:szCs w:val="24"/>
        </w:rPr>
        <w:t>.</w:t>
      </w:r>
    </w:p>
    <w:p w:rsidR="00FA6FC6" w:rsidRPr="00C35F9B" w:rsidRDefault="00B74519" w:rsidP="00C35F9B">
      <w:pPr>
        <w:spacing w:after="0" w:line="240" w:lineRule="auto"/>
        <w:ind w:firstLine="709"/>
        <w:jc w:val="both"/>
        <w:rPr>
          <w:rFonts w:ascii="Times New Roman" w:hAnsi="Times New Roman" w:cs="Times New Roman"/>
          <w:color w:val="000000" w:themeColor="text1"/>
          <w:sz w:val="24"/>
          <w:szCs w:val="24"/>
        </w:rPr>
      </w:pPr>
      <w:r w:rsidRPr="00C35F9B">
        <w:rPr>
          <w:rFonts w:ascii="Times New Roman" w:hAnsi="Times New Roman" w:cs="Times New Roman"/>
          <w:color w:val="000000" w:themeColor="text1"/>
          <w:sz w:val="24"/>
          <w:szCs w:val="24"/>
        </w:rPr>
        <w:t>Разом з тим, як вірно зазначили суди</w:t>
      </w:r>
      <w:r w:rsidR="00F010CA" w:rsidRPr="00C35F9B">
        <w:rPr>
          <w:rFonts w:ascii="Times New Roman" w:hAnsi="Times New Roman" w:cs="Times New Roman"/>
          <w:color w:val="000000" w:themeColor="text1"/>
          <w:sz w:val="24"/>
          <w:szCs w:val="24"/>
        </w:rPr>
        <w:t xml:space="preserve"> попередніх інстанцій</w:t>
      </w:r>
      <w:r w:rsidRPr="00C35F9B">
        <w:rPr>
          <w:rFonts w:ascii="Times New Roman" w:hAnsi="Times New Roman" w:cs="Times New Roman"/>
          <w:color w:val="000000" w:themeColor="text1"/>
          <w:sz w:val="24"/>
          <w:szCs w:val="24"/>
        </w:rPr>
        <w:t>, відповідно до частини 6</w:t>
      </w:r>
      <w:r w:rsidR="00F010CA" w:rsidRPr="00C35F9B">
        <w:rPr>
          <w:rFonts w:ascii="Times New Roman" w:hAnsi="Times New Roman" w:cs="Times New Roman"/>
          <w:color w:val="000000" w:themeColor="text1"/>
          <w:sz w:val="24"/>
          <w:szCs w:val="24"/>
        </w:rPr>
        <w:t xml:space="preserve"> </w:t>
      </w:r>
      <w:r w:rsidRPr="00C35F9B">
        <w:rPr>
          <w:rFonts w:ascii="Times New Roman" w:hAnsi="Times New Roman" w:cs="Times New Roman"/>
          <w:color w:val="000000" w:themeColor="text1"/>
          <w:sz w:val="24"/>
          <w:szCs w:val="24"/>
        </w:rPr>
        <w:t> </w:t>
      </w:r>
      <w:hyperlink r:id="rId44" w:anchor="1741" w:tgtFrame="_blank" w:tooltip="Про акціонерні товариства; нормативно-правовий акт № 514-VI від 17.09.2008" w:history="1">
        <w:r w:rsidRPr="00C35F9B">
          <w:rPr>
            <w:rStyle w:val="a4"/>
            <w:rFonts w:ascii="Times New Roman" w:hAnsi="Times New Roman" w:cs="Times New Roman"/>
            <w:color w:val="000000" w:themeColor="text1"/>
            <w:sz w:val="24"/>
            <w:szCs w:val="24"/>
            <w:u w:val="none"/>
          </w:rPr>
          <w:t>ст. 65 Закону України "Про акціонерні товариства"</w:t>
        </w:r>
      </w:hyperlink>
      <w:r w:rsidRPr="00C35F9B">
        <w:rPr>
          <w:rFonts w:ascii="Times New Roman" w:hAnsi="Times New Roman" w:cs="Times New Roman"/>
          <w:color w:val="000000" w:themeColor="text1"/>
          <w:sz w:val="24"/>
          <w:szCs w:val="24"/>
        </w:rPr>
        <w:t>  положення  цієї  статті не поширюються на особу (осіб, що діють спільно),  яка вже є власником контрольного пакета акцій,  з урахуванням  кількості акцій,  що  належать їй та її афілійованим особам.</w:t>
      </w:r>
    </w:p>
    <w:p w:rsidR="000724F7" w:rsidRPr="00C35F9B" w:rsidRDefault="00B74519" w:rsidP="00C35F9B">
      <w:pPr>
        <w:spacing w:after="0" w:line="240" w:lineRule="auto"/>
        <w:ind w:firstLine="709"/>
        <w:jc w:val="both"/>
        <w:rPr>
          <w:rFonts w:ascii="Times New Roman" w:hAnsi="Times New Roman" w:cs="Times New Roman"/>
          <w:color w:val="000000" w:themeColor="text1"/>
          <w:sz w:val="24"/>
          <w:szCs w:val="24"/>
        </w:rPr>
      </w:pPr>
      <w:r w:rsidRPr="00C35F9B">
        <w:rPr>
          <w:rFonts w:ascii="Times New Roman" w:hAnsi="Times New Roman" w:cs="Times New Roman"/>
          <w:color w:val="000000" w:themeColor="text1"/>
          <w:sz w:val="24"/>
          <w:szCs w:val="24"/>
        </w:rPr>
        <w:t>За змістом п.1 ч.1 ст.</w:t>
      </w:r>
      <w:hyperlink r:id="rId45" w:anchor="12" w:tgtFrame="_blank" w:tooltip="Про акціонерні товариства; нормативно-правовий акт № 514-VI від 17.09.2008" w:history="1">
        <w:r w:rsidRPr="00C35F9B">
          <w:rPr>
            <w:rStyle w:val="a4"/>
            <w:rFonts w:ascii="Times New Roman" w:hAnsi="Times New Roman" w:cs="Times New Roman"/>
            <w:color w:val="000000" w:themeColor="text1"/>
            <w:sz w:val="24"/>
            <w:szCs w:val="24"/>
            <w:u w:val="none"/>
          </w:rPr>
          <w:t>2</w:t>
        </w:r>
      </w:hyperlink>
      <w:r w:rsidRPr="00C35F9B">
        <w:rPr>
          <w:rFonts w:ascii="Times New Roman" w:hAnsi="Times New Roman" w:cs="Times New Roman"/>
          <w:color w:val="000000" w:themeColor="text1"/>
          <w:sz w:val="24"/>
          <w:szCs w:val="24"/>
        </w:rPr>
        <w:t> </w:t>
      </w:r>
      <w:hyperlink r:id="rId46" w:anchor="1741" w:tgtFrame="_blank" w:tooltip="Про акціонерні товариства; нормативно-правовий акт № 514-VI від 17.09.2008" w:history="1">
        <w:r w:rsidRPr="00C35F9B">
          <w:rPr>
            <w:rStyle w:val="a4"/>
            <w:rFonts w:ascii="Times New Roman" w:hAnsi="Times New Roman" w:cs="Times New Roman"/>
            <w:color w:val="000000" w:themeColor="text1"/>
            <w:sz w:val="24"/>
            <w:szCs w:val="24"/>
            <w:u w:val="none"/>
          </w:rPr>
          <w:t>65 Закону України "Про акціонерні товариства"</w:t>
        </w:r>
      </w:hyperlink>
      <w:r w:rsidRPr="00C35F9B">
        <w:rPr>
          <w:rFonts w:ascii="Times New Roman" w:hAnsi="Times New Roman" w:cs="Times New Roman"/>
          <w:color w:val="000000" w:themeColor="text1"/>
          <w:sz w:val="24"/>
          <w:szCs w:val="24"/>
        </w:rPr>
        <w:t> афілійовані одна щодо  іншої  особи - це юридичні особи, за умови, що одна з них здійснює контроль над іншою чи обидві перебувають під контролем третьої особи.</w:t>
      </w:r>
      <w:r w:rsidR="00C35F9B" w:rsidRPr="00C35F9B">
        <w:rPr>
          <w:rFonts w:ascii="Times New Roman" w:hAnsi="Times New Roman" w:cs="Times New Roman"/>
          <w:color w:val="000000" w:themeColor="text1"/>
          <w:sz w:val="24"/>
          <w:szCs w:val="24"/>
        </w:rPr>
        <w:t xml:space="preserve"> </w:t>
      </w:r>
      <w:r w:rsidRPr="00C35F9B">
        <w:rPr>
          <w:rFonts w:ascii="Times New Roman" w:hAnsi="Times New Roman" w:cs="Times New Roman"/>
          <w:color w:val="000000" w:themeColor="text1"/>
          <w:sz w:val="24"/>
          <w:szCs w:val="24"/>
        </w:rPr>
        <w:t>Контроль відповідно до п.7 ч.1 </w:t>
      </w:r>
      <w:hyperlink r:id="rId47" w:anchor="12" w:tgtFrame="_blank" w:tooltip="Про акціонерні товариства; нормативно-правовий акт № 514-VI від 17.09.2008" w:history="1">
        <w:r w:rsidRPr="00C35F9B">
          <w:rPr>
            <w:rStyle w:val="a4"/>
            <w:rFonts w:ascii="Times New Roman" w:hAnsi="Times New Roman" w:cs="Times New Roman"/>
            <w:color w:val="000000" w:themeColor="text1"/>
            <w:sz w:val="24"/>
            <w:szCs w:val="24"/>
            <w:u w:val="none"/>
          </w:rPr>
          <w:t>ст.2 Закону України "Про акціонерні товариства"</w:t>
        </w:r>
      </w:hyperlink>
      <w:r w:rsidR="00C35F9B">
        <w:rPr>
          <w:rFonts w:ascii="Times New Roman" w:hAnsi="Times New Roman" w:cs="Times New Roman"/>
          <w:color w:val="000000" w:themeColor="text1"/>
          <w:sz w:val="24"/>
          <w:szCs w:val="24"/>
        </w:rPr>
        <w:t xml:space="preserve"> це вирішальний вплив </w:t>
      </w:r>
      <w:r w:rsidRPr="00C35F9B">
        <w:rPr>
          <w:rFonts w:ascii="Times New Roman" w:hAnsi="Times New Roman" w:cs="Times New Roman"/>
          <w:color w:val="000000" w:themeColor="text1"/>
          <w:sz w:val="24"/>
          <w:szCs w:val="24"/>
        </w:rPr>
        <w:t>або можли</w:t>
      </w:r>
      <w:r w:rsidR="00C35F9B">
        <w:rPr>
          <w:rFonts w:ascii="Times New Roman" w:hAnsi="Times New Roman" w:cs="Times New Roman"/>
          <w:color w:val="000000" w:themeColor="text1"/>
          <w:sz w:val="24"/>
          <w:szCs w:val="24"/>
        </w:rPr>
        <w:t>вість здійснення вирішального впливу на господарську діяльність суб'єкта господарювання, </w:t>
      </w:r>
      <w:r w:rsidRPr="00C35F9B">
        <w:rPr>
          <w:rFonts w:ascii="Times New Roman" w:hAnsi="Times New Roman" w:cs="Times New Roman"/>
          <w:color w:val="000000" w:themeColor="text1"/>
          <w:sz w:val="24"/>
          <w:szCs w:val="24"/>
        </w:rPr>
        <w:t>що здійснюється, зокрема, шляхом реалізації права володіння або користуван</w:t>
      </w:r>
      <w:r w:rsidR="00C35F9B">
        <w:rPr>
          <w:rFonts w:ascii="Times New Roman" w:hAnsi="Times New Roman" w:cs="Times New Roman"/>
          <w:color w:val="000000" w:themeColor="text1"/>
          <w:sz w:val="24"/>
          <w:szCs w:val="24"/>
        </w:rPr>
        <w:t>ня всіма активами чи їх значною</w:t>
      </w:r>
      <w:r w:rsidRPr="00C35F9B">
        <w:rPr>
          <w:rFonts w:ascii="Times New Roman" w:hAnsi="Times New Roman" w:cs="Times New Roman"/>
          <w:color w:val="000000" w:themeColor="text1"/>
          <w:sz w:val="24"/>
          <w:szCs w:val="24"/>
        </w:rPr>
        <w:t> ч</w:t>
      </w:r>
      <w:r w:rsidR="00FA6FC6" w:rsidRPr="00C35F9B">
        <w:rPr>
          <w:rFonts w:ascii="Times New Roman" w:hAnsi="Times New Roman" w:cs="Times New Roman"/>
          <w:color w:val="000000" w:themeColor="text1"/>
          <w:sz w:val="24"/>
          <w:szCs w:val="24"/>
        </w:rPr>
        <w:t>астиною,</w:t>
      </w:r>
      <w:r w:rsidR="00C35F9B">
        <w:rPr>
          <w:rFonts w:ascii="Times New Roman" w:hAnsi="Times New Roman" w:cs="Times New Roman"/>
          <w:color w:val="000000" w:themeColor="text1"/>
          <w:sz w:val="24"/>
          <w:szCs w:val="24"/>
        </w:rPr>
        <w:t xml:space="preserve"> права вирішального впливу на формування складу,</w:t>
      </w:r>
      <w:r w:rsidR="00C35F9B" w:rsidRPr="00C35F9B">
        <w:rPr>
          <w:rFonts w:ascii="Times New Roman" w:hAnsi="Times New Roman" w:cs="Times New Roman"/>
          <w:color w:val="000000" w:themeColor="text1"/>
          <w:sz w:val="24"/>
          <w:szCs w:val="24"/>
        </w:rPr>
        <w:t xml:space="preserve"> результати </w:t>
      </w:r>
      <w:r w:rsidRPr="00C35F9B">
        <w:rPr>
          <w:rFonts w:ascii="Times New Roman" w:hAnsi="Times New Roman" w:cs="Times New Roman"/>
          <w:color w:val="000000" w:themeColor="text1"/>
          <w:sz w:val="24"/>
          <w:szCs w:val="24"/>
        </w:rPr>
        <w:t>голосування</w:t>
      </w:r>
      <w:r w:rsidR="00FA6FC6" w:rsidRPr="00C35F9B">
        <w:rPr>
          <w:rFonts w:ascii="Times New Roman" w:hAnsi="Times New Roman" w:cs="Times New Roman"/>
          <w:color w:val="000000" w:themeColor="text1"/>
          <w:sz w:val="24"/>
          <w:szCs w:val="24"/>
        </w:rPr>
        <w:t xml:space="preserve"> </w:t>
      </w:r>
      <w:r w:rsidR="00C35F9B">
        <w:rPr>
          <w:rFonts w:ascii="Times New Roman" w:hAnsi="Times New Roman" w:cs="Times New Roman"/>
          <w:color w:val="000000" w:themeColor="text1"/>
          <w:sz w:val="24"/>
          <w:szCs w:val="24"/>
        </w:rPr>
        <w:t>та прийняття рішення органами управління суб'єкта господарювання, а також вчиненн</w:t>
      </w:r>
      <w:r w:rsidR="003C262A">
        <w:rPr>
          <w:rFonts w:ascii="Times New Roman" w:hAnsi="Times New Roman" w:cs="Times New Roman"/>
          <w:color w:val="000000" w:themeColor="text1"/>
          <w:sz w:val="24"/>
          <w:szCs w:val="24"/>
        </w:rPr>
        <w:t>і</w:t>
      </w:r>
      <w:r w:rsidR="00C35F9B">
        <w:rPr>
          <w:rFonts w:ascii="Times New Roman" w:hAnsi="Times New Roman" w:cs="Times New Roman"/>
          <w:color w:val="000000" w:themeColor="text1"/>
          <w:sz w:val="24"/>
          <w:szCs w:val="24"/>
        </w:rPr>
        <w:t xml:space="preserve"> правочинів, які надають можливість визначати умови господарської</w:t>
      </w:r>
      <w:r w:rsidRPr="00C35F9B">
        <w:rPr>
          <w:rFonts w:ascii="Times New Roman" w:hAnsi="Times New Roman" w:cs="Times New Roman"/>
          <w:color w:val="000000" w:themeColor="text1"/>
          <w:sz w:val="24"/>
          <w:szCs w:val="24"/>
        </w:rPr>
        <w:t>  діяльн</w:t>
      </w:r>
      <w:r w:rsidR="00C35F9B">
        <w:rPr>
          <w:rFonts w:ascii="Times New Roman" w:hAnsi="Times New Roman" w:cs="Times New Roman"/>
          <w:color w:val="000000" w:themeColor="text1"/>
          <w:sz w:val="24"/>
          <w:szCs w:val="24"/>
        </w:rPr>
        <w:t xml:space="preserve">ості, давати обов'язкові до виконання </w:t>
      </w:r>
      <w:r w:rsidRPr="00C35F9B">
        <w:rPr>
          <w:rFonts w:ascii="Times New Roman" w:hAnsi="Times New Roman" w:cs="Times New Roman"/>
          <w:color w:val="000000" w:themeColor="text1"/>
          <w:sz w:val="24"/>
          <w:szCs w:val="24"/>
        </w:rPr>
        <w:t>вказівки або виконувати функції органу управління суб'єкта господарювання.</w:t>
      </w:r>
    </w:p>
    <w:p w:rsidR="00C35F9B" w:rsidRDefault="00B74519" w:rsidP="00C35F9B">
      <w:pPr>
        <w:spacing w:after="0" w:line="240" w:lineRule="auto"/>
        <w:ind w:firstLine="709"/>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Водночас, згідно з ч.4</w:t>
      </w:r>
      <w:r w:rsidR="00C35F9B">
        <w:rPr>
          <w:rFonts w:ascii="Times New Roman" w:hAnsi="Times New Roman" w:cs="Times New Roman"/>
          <w:color w:val="000000" w:themeColor="text1"/>
          <w:sz w:val="24"/>
          <w:szCs w:val="24"/>
        </w:rPr>
        <w:t xml:space="preserve"> </w:t>
      </w:r>
      <w:hyperlink r:id="rId48" w:anchor="5" w:tgtFrame="_blank" w:tooltip="Про акціонерні товариства; нормативно-правовий акт № 514-VI від 17.09.2008" w:history="1">
        <w:r w:rsidRPr="00E81790">
          <w:rPr>
            <w:rStyle w:val="a4"/>
            <w:rFonts w:ascii="Times New Roman" w:hAnsi="Times New Roman" w:cs="Times New Roman"/>
            <w:color w:val="000000" w:themeColor="text1"/>
            <w:sz w:val="24"/>
            <w:szCs w:val="24"/>
            <w:u w:val="none"/>
          </w:rPr>
          <w:t>ст.1 Закону України "Про акціонерні товариства"</w:t>
        </w:r>
      </w:hyperlink>
      <w:r w:rsidR="00C35F9B">
        <w:rPr>
          <w:rFonts w:ascii="Times New Roman" w:hAnsi="Times New Roman" w:cs="Times New Roman"/>
          <w:color w:val="000000" w:themeColor="text1"/>
          <w:sz w:val="24"/>
          <w:szCs w:val="24"/>
        </w:rPr>
        <w:t xml:space="preserve"> </w:t>
      </w:r>
      <w:r w:rsidRPr="00E81790">
        <w:rPr>
          <w:rFonts w:ascii="Times New Roman" w:hAnsi="Times New Roman" w:cs="Times New Roman"/>
          <w:color w:val="000000" w:themeColor="text1"/>
          <w:sz w:val="24"/>
          <w:szCs w:val="24"/>
        </w:rPr>
        <w:t>створення, припинення акціонерного тов</w:t>
      </w:r>
      <w:r w:rsidR="00C35F9B">
        <w:rPr>
          <w:rFonts w:ascii="Times New Roman" w:hAnsi="Times New Roman" w:cs="Times New Roman"/>
          <w:color w:val="000000" w:themeColor="text1"/>
          <w:sz w:val="24"/>
          <w:szCs w:val="24"/>
        </w:rPr>
        <w:t xml:space="preserve">ариства, одержання </w:t>
      </w:r>
      <w:r w:rsidRPr="00E81790">
        <w:rPr>
          <w:rFonts w:ascii="Times New Roman" w:hAnsi="Times New Roman" w:cs="Times New Roman"/>
          <w:color w:val="000000" w:themeColor="text1"/>
          <w:sz w:val="24"/>
          <w:szCs w:val="24"/>
        </w:rPr>
        <w:t>у вл</w:t>
      </w:r>
      <w:r w:rsidR="00C35F9B">
        <w:rPr>
          <w:rFonts w:ascii="Times New Roman" w:hAnsi="Times New Roman" w:cs="Times New Roman"/>
          <w:color w:val="000000" w:themeColor="text1"/>
          <w:sz w:val="24"/>
          <w:szCs w:val="24"/>
        </w:rPr>
        <w:t xml:space="preserve">асність або в управління акцій а </w:t>
      </w:r>
      <w:r w:rsidRPr="00E81790">
        <w:rPr>
          <w:rFonts w:ascii="Times New Roman" w:hAnsi="Times New Roman" w:cs="Times New Roman"/>
          <w:color w:val="000000" w:themeColor="text1"/>
          <w:sz w:val="24"/>
          <w:szCs w:val="24"/>
        </w:rPr>
        <w:t>н</w:t>
      </w:r>
      <w:r w:rsidR="00C35F9B">
        <w:rPr>
          <w:rFonts w:ascii="Times New Roman" w:hAnsi="Times New Roman" w:cs="Times New Roman"/>
          <w:color w:val="000000" w:themeColor="text1"/>
          <w:sz w:val="24"/>
          <w:szCs w:val="24"/>
        </w:rPr>
        <w:t xml:space="preserve">абуття іншим чином </w:t>
      </w:r>
      <w:r w:rsidRPr="00E81790">
        <w:rPr>
          <w:rFonts w:ascii="Times New Roman" w:hAnsi="Times New Roman" w:cs="Times New Roman"/>
          <w:color w:val="000000" w:themeColor="text1"/>
          <w:sz w:val="24"/>
          <w:szCs w:val="24"/>
        </w:rPr>
        <w:t>права контролю над товарист</w:t>
      </w:r>
      <w:r w:rsidR="00C35F9B">
        <w:rPr>
          <w:rFonts w:ascii="Times New Roman" w:hAnsi="Times New Roman" w:cs="Times New Roman"/>
          <w:color w:val="000000" w:themeColor="text1"/>
          <w:sz w:val="24"/>
          <w:szCs w:val="24"/>
        </w:rPr>
        <w:t xml:space="preserve">вом здійснюється з дотриманням </w:t>
      </w:r>
      <w:r w:rsidRPr="00E81790">
        <w:rPr>
          <w:rFonts w:ascii="Times New Roman" w:hAnsi="Times New Roman" w:cs="Times New Roman"/>
          <w:color w:val="000000" w:themeColor="text1"/>
          <w:sz w:val="24"/>
          <w:szCs w:val="24"/>
        </w:rPr>
        <w:t>законодавства про захист економічної конкуренції.</w:t>
      </w:r>
      <w:r w:rsidR="00FA6FC6" w:rsidRPr="00E81790">
        <w:rPr>
          <w:rFonts w:ascii="Times New Roman" w:hAnsi="Times New Roman" w:cs="Times New Roman"/>
          <w:color w:val="000000" w:themeColor="text1"/>
          <w:sz w:val="24"/>
          <w:szCs w:val="24"/>
        </w:rPr>
        <w:t xml:space="preserve"> </w:t>
      </w:r>
    </w:p>
    <w:p w:rsidR="00C35F9B" w:rsidRDefault="00B74519" w:rsidP="00C35F9B">
      <w:pPr>
        <w:spacing w:after="0" w:line="240" w:lineRule="auto"/>
        <w:ind w:firstLine="709"/>
        <w:jc w:val="both"/>
        <w:rPr>
          <w:rFonts w:ascii="Times New Roman" w:hAnsi="Times New Roman" w:cs="Times New Roman"/>
          <w:color w:val="000000" w:themeColor="text1"/>
          <w:sz w:val="24"/>
          <w:szCs w:val="24"/>
        </w:rPr>
      </w:pPr>
      <w:r w:rsidRPr="00E81790">
        <w:rPr>
          <w:rFonts w:ascii="Times New Roman" w:hAnsi="Times New Roman" w:cs="Times New Roman"/>
          <w:color w:val="000000" w:themeColor="text1"/>
          <w:sz w:val="24"/>
          <w:szCs w:val="24"/>
        </w:rPr>
        <w:t>За змістом</w:t>
      </w:r>
      <w:r w:rsidR="00C35F9B">
        <w:rPr>
          <w:rFonts w:ascii="Times New Roman" w:hAnsi="Times New Roman" w:cs="Times New Roman"/>
          <w:color w:val="000000" w:themeColor="text1"/>
          <w:sz w:val="24"/>
          <w:szCs w:val="24"/>
        </w:rPr>
        <w:t xml:space="preserve"> </w:t>
      </w:r>
      <w:hyperlink r:id="rId49" w:anchor="6" w:tgtFrame="_blank" w:tooltip="Про захист економічної конкуренції; нормативно-правовий акт № 2210-III від 11.01.2001" w:history="1">
        <w:r w:rsidRPr="00E81790">
          <w:rPr>
            <w:rStyle w:val="a4"/>
            <w:rFonts w:ascii="Times New Roman" w:hAnsi="Times New Roman" w:cs="Times New Roman"/>
            <w:color w:val="000000" w:themeColor="text1"/>
            <w:sz w:val="24"/>
            <w:szCs w:val="24"/>
            <w:u w:val="none"/>
          </w:rPr>
          <w:t>ст.1 Закону України "Про захист економічної конкуренції"</w:t>
        </w:r>
      </w:hyperlink>
      <w:r w:rsidRPr="00E81790">
        <w:rPr>
          <w:rFonts w:ascii="Times New Roman" w:hAnsi="Times New Roman" w:cs="Times New Roman"/>
          <w:color w:val="000000" w:themeColor="text1"/>
          <w:sz w:val="24"/>
          <w:szCs w:val="24"/>
        </w:rPr>
        <w:t xml:space="preserve"> контроль - вирішальний вплив одніє</w:t>
      </w:r>
      <w:r w:rsidR="00C35F9B">
        <w:rPr>
          <w:rFonts w:ascii="Times New Roman" w:hAnsi="Times New Roman" w:cs="Times New Roman"/>
          <w:color w:val="000000" w:themeColor="text1"/>
          <w:sz w:val="24"/>
          <w:szCs w:val="24"/>
        </w:rPr>
        <w:t xml:space="preserve">ї чи декількох </w:t>
      </w:r>
      <w:r w:rsidRPr="00E81790">
        <w:rPr>
          <w:rFonts w:ascii="Times New Roman" w:hAnsi="Times New Roman" w:cs="Times New Roman"/>
          <w:color w:val="000000" w:themeColor="text1"/>
          <w:sz w:val="24"/>
          <w:szCs w:val="24"/>
        </w:rPr>
        <w:t xml:space="preserve">пов'язаних юридичних та/або фізичних </w:t>
      </w:r>
      <w:r w:rsidR="00C35F9B">
        <w:rPr>
          <w:rFonts w:ascii="Times New Roman" w:hAnsi="Times New Roman" w:cs="Times New Roman"/>
          <w:color w:val="000000" w:themeColor="text1"/>
          <w:sz w:val="24"/>
          <w:szCs w:val="24"/>
        </w:rPr>
        <w:t xml:space="preserve">осіб на господарську діяльність суб'єкта господарювання чи його частини, який </w:t>
      </w:r>
      <w:r w:rsidRPr="00E81790">
        <w:rPr>
          <w:rFonts w:ascii="Times New Roman" w:hAnsi="Times New Roman" w:cs="Times New Roman"/>
          <w:color w:val="000000" w:themeColor="text1"/>
          <w:sz w:val="24"/>
          <w:szCs w:val="24"/>
        </w:rPr>
        <w:t>з</w:t>
      </w:r>
      <w:r w:rsidR="00C35F9B">
        <w:rPr>
          <w:rFonts w:ascii="Times New Roman" w:hAnsi="Times New Roman" w:cs="Times New Roman"/>
          <w:color w:val="000000" w:themeColor="text1"/>
          <w:sz w:val="24"/>
          <w:szCs w:val="24"/>
        </w:rPr>
        <w:t xml:space="preserve">дійснюється безпосередньо або через інших осіб, зокрема, завдяки праву, яке забезпечує вирішальний вплив на </w:t>
      </w:r>
      <w:r w:rsidRPr="00E81790">
        <w:rPr>
          <w:rFonts w:ascii="Times New Roman" w:hAnsi="Times New Roman" w:cs="Times New Roman"/>
          <w:color w:val="000000" w:themeColor="text1"/>
          <w:sz w:val="24"/>
          <w:szCs w:val="24"/>
        </w:rPr>
        <w:t>фор</w:t>
      </w:r>
      <w:r w:rsidR="00C35F9B">
        <w:rPr>
          <w:rFonts w:ascii="Times New Roman" w:hAnsi="Times New Roman" w:cs="Times New Roman"/>
          <w:color w:val="000000" w:themeColor="text1"/>
          <w:sz w:val="24"/>
          <w:szCs w:val="24"/>
        </w:rPr>
        <w:t xml:space="preserve">мування складу, </w:t>
      </w:r>
      <w:r w:rsidRPr="00E81790">
        <w:rPr>
          <w:rFonts w:ascii="Times New Roman" w:hAnsi="Times New Roman" w:cs="Times New Roman"/>
          <w:color w:val="000000" w:themeColor="text1"/>
          <w:sz w:val="24"/>
          <w:szCs w:val="24"/>
        </w:rPr>
        <w:t>результати голосування та рішення органів управління суб'єкта господарювання.</w:t>
      </w:r>
    </w:p>
    <w:p w:rsidR="006F77A3" w:rsidRPr="004D0DFD" w:rsidRDefault="006F77A3" w:rsidP="00C35F9B">
      <w:pPr>
        <w:spacing w:after="0" w:line="240" w:lineRule="auto"/>
        <w:ind w:firstLine="709"/>
        <w:jc w:val="both"/>
        <w:rPr>
          <w:rFonts w:ascii="Times New Roman" w:hAnsi="Times New Roman" w:cs="Times New Roman"/>
          <w:b/>
          <w:i/>
          <w:color w:val="000000" w:themeColor="text1"/>
          <w:sz w:val="24"/>
          <w:szCs w:val="24"/>
          <w:u w:val="single"/>
        </w:rPr>
      </w:pPr>
      <w:r w:rsidRPr="004D0DFD">
        <w:rPr>
          <w:rFonts w:ascii="Times New Roman" w:hAnsi="Times New Roman" w:cs="Times New Roman"/>
          <w:b/>
          <w:i/>
          <w:color w:val="000000" w:themeColor="text1"/>
          <w:sz w:val="24"/>
          <w:szCs w:val="24"/>
          <w:u w:val="single"/>
        </w:rPr>
        <w:t>Таким чином, Верховний суд підтвердив обґрунтованість висновків судів нижчих інстанцій, про те, що до збільшення статутного капіталу акціонерного товариства на підставі рішення загальних зборів акціонерів, зазначені в позові акціонери разом вже володіли контрольним пакетом акцій акціонерного , оскільки є афілійованими особами, а тому у позивача не виникає право вимоги викупу належних йому цінних паперів.</w:t>
      </w:r>
    </w:p>
    <w:p w:rsidR="006650A3" w:rsidRPr="003C262A" w:rsidRDefault="006650A3" w:rsidP="004665BB">
      <w:pPr>
        <w:spacing w:after="0" w:line="240" w:lineRule="auto"/>
        <w:rPr>
          <w:rFonts w:ascii="Times New Roman" w:eastAsia="Times New Roman" w:hAnsi="Times New Roman" w:cs="Times New Roman"/>
          <w:i/>
          <w:iCs/>
          <w:color w:val="000000" w:themeColor="text1"/>
          <w:sz w:val="24"/>
          <w:szCs w:val="24"/>
          <w:u w:val="single"/>
          <w:lang w:eastAsia="uk-UA"/>
        </w:rPr>
      </w:pPr>
      <w:r w:rsidRPr="003C262A">
        <w:rPr>
          <w:rFonts w:ascii="Times New Roman" w:eastAsia="Times New Roman" w:hAnsi="Times New Roman" w:cs="Times New Roman"/>
          <w:i/>
          <w:iCs/>
          <w:color w:val="000000" w:themeColor="text1"/>
          <w:sz w:val="24"/>
          <w:szCs w:val="24"/>
          <w:u w:val="single"/>
          <w:lang w:eastAsia="uk-UA"/>
        </w:rPr>
        <w:br w:type="page"/>
      </w:r>
    </w:p>
    <w:p w:rsidR="00604C9C" w:rsidRPr="00C35F9B" w:rsidRDefault="004D0DFD" w:rsidP="00C35F9B">
      <w:pPr>
        <w:pStyle w:val="a5"/>
        <w:numPr>
          <w:ilvl w:val="0"/>
          <w:numId w:val="1"/>
        </w:numPr>
        <w:spacing w:after="0" w:line="240" w:lineRule="auto"/>
        <w:jc w:val="center"/>
        <w:rPr>
          <w:rFonts w:ascii="Times New Roman" w:eastAsia="Times New Roman" w:hAnsi="Times New Roman" w:cs="Times New Roman"/>
          <w:b/>
          <w:bCs/>
          <w:color w:val="000000" w:themeColor="text1"/>
          <w:sz w:val="24"/>
          <w:szCs w:val="24"/>
          <w:u w:val="single"/>
          <w:lang w:eastAsia="uk-UA"/>
        </w:rPr>
      </w:pPr>
      <w:r>
        <w:rPr>
          <w:rFonts w:ascii="Times New Roman" w:eastAsia="Times New Roman" w:hAnsi="Times New Roman" w:cs="Times New Roman"/>
          <w:b/>
          <w:color w:val="000000" w:themeColor="text1"/>
          <w:sz w:val="24"/>
          <w:szCs w:val="24"/>
          <w:u w:val="single"/>
          <w:lang w:eastAsia="uk-UA"/>
        </w:rPr>
        <w:lastRenderedPageBreak/>
        <w:t>Щодо передачі спору про в</w:t>
      </w:r>
      <w:r w:rsidR="00E81790" w:rsidRPr="00C35F9B">
        <w:rPr>
          <w:rFonts w:ascii="Times New Roman" w:eastAsia="Times New Roman" w:hAnsi="Times New Roman" w:cs="Times New Roman"/>
          <w:b/>
          <w:color w:val="000000" w:themeColor="text1"/>
          <w:sz w:val="24"/>
          <w:szCs w:val="24"/>
          <w:u w:val="single"/>
          <w:lang w:eastAsia="uk-UA"/>
        </w:rPr>
        <w:t>изнання недійсними рішень загальних зборів з підстав відсутності кворуму</w:t>
      </w:r>
      <w:r>
        <w:rPr>
          <w:rFonts w:ascii="Times New Roman" w:eastAsia="Times New Roman" w:hAnsi="Times New Roman" w:cs="Times New Roman"/>
          <w:b/>
          <w:color w:val="000000" w:themeColor="text1"/>
          <w:sz w:val="24"/>
          <w:szCs w:val="24"/>
          <w:u w:val="single"/>
          <w:lang w:eastAsia="uk-UA"/>
        </w:rPr>
        <w:t xml:space="preserve"> на розгляд Великої палати Верховного суду</w:t>
      </w:r>
    </w:p>
    <w:p w:rsidR="00474EBD" w:rsidRPr="00E81790" w:rsidRDefault="00604C9C" w:rsidP="00E81790">
      <w:pPr>
        <w:spacing w:after="0" w:line="240" w:lineRule="auto"/>
        <w:ind w:firstLine="708"/>
        <w:rPr>
          <w:rFonts w:ascii="Times New Roman" w:eastAsia="Times New Roman" w:hAnsi="Times New Roman" w:cs="Times New Roman"/>
          <w:i/>
          <w:color w:val="000000" w:themeColor="text1"/>
          <w:sz w:val="24"/>
          <w:szCs w:val="24"/>
          <w:lang w:eastAsia="uk-UA"/>
        </w:rPr>
      </w:pPr>
      <w:r w:rsidRPr="00E81790">
        <w:rPr>
          <w:rFonts w:ascii="Times New Roman" w:eastAsia="Times New Roman" w:hAnsi="Times New Roman" w:cs="Times New Roman"/>
          <w:bCs/>
          <w:i/>
          <w:color w:val="000000" w:themeColor="text1"/>
          <w:sz w:val="24"/>
          <w:szCs w:val="24"/>
          <w:lang w:eastAsia="uk-UA"/>
        </w:rPr>
        <w:t xml:space="preserve">(Постанова </w:t>
      </w:r>
      <w:r w:rsidR="00F42DB7" w:rsidRPr="00E81790">
        <w:rPr>
          <w:rFonts w:ascii="Times New Roman" w:eastAsia="Times New Roman" w:hAnsi="Times New Roman" w:cs="Times New Roman"/>
          <w:bCs/>
          <w:i/>
          <w:color w:val="000000" w:themeColor="text1"/>
          <w:sz w:val="24"/>
          <w:szCs w:val="24"/>
          <w:lang w:eastAsia="uk-UA"/>
        </w:rPr>
        <w:t>Велик</w:t>
      </w:r>
      <w:r w:rsidRPr="00E81790">
        <w:rPr>
          <w:rFonts w:ascii="Times New Roman" w:eastAsia="Times New Roman" w:hAnsi="Times New Roman" w:cs="Times New Roman"/>
          <w:bCs/>
          <w:i/>
          <w:color w:val="000000" w:themeColor="text1"/>
          <w:sz w:val="24"/>
          <w:szCs w:val="24"/>
          <w:lang w:eastAsia="uk-UA"/>
        </w:rPr>
        <w:t>ої</w:t>
      </w:r>
      <w:r w:rsidR="00F42DB7" w:rsidRPr="00E81790">
        <w:rPr>
          <w:rFonts w:ascii="Times New Roman" w:eastAsia="Times New Roman" w:hAnsi="Times New Roman" w:cs="Times New Roman"/>
          <w:bCs/>
          <w:i/>
          <w:color w:val="000000" w:themeColor="text1"/>
          <w:sz w:val="24"/>
          <w:szCs w:val="24"/>
          <w:lang w:eastAsia="uk-UA"/>
        </w:rPr>
        <w:t xml:space="preserve"> палат</w:t>
      </w:r>
      <w:r w:rsidRPr="00E81790">
        <w:rPr>
          <w:rFonts w:ascii="Times New Roman" w:eastAsia="Times New Roman" w:hAnsi="Times New Roman" w:cs="Times New Roman"/>
          <w:bCs/>
          <w:i/>
          <w:color w:val="000000" w:themeColor="text1"/>
          <w:sz w:val="24"/>
          <w:szCs w:val="24"/>
          <w:lang w:eastAsia="uk-UA"/>
        </w:rPr>
        <w:t>и</w:t>
      </w:r>
      <w:r w:rsidR="00F42DB7" w:rsidRPr="00E81790">
        <w:rPr>
          <w:rFonts w:ascii="Times New Roman" w:eastAsia="Times New Roman" w:hAnsi="Times New Roman" w:cs="Times New Roman"/>
          <w:bCs/>
          <w:i/>
          <w:color w:val="000000" w:themeColor="text1"/>
          <w:sz w:val="24"/>
          <w:szCs w:val="24"/>
          <w:lang w:eastAsia="uk-UA"/>
        </w:rPr>
        <w:t xml:space="preserve"> Верховного суду</w:t>
      </w:r>
      <w:r w:rsidR="00474EBD" w:rsidRPr="00E81790">
        <w:rPr>
          <w:rFonts w:ascii="Times New Roman" w:eastAsia="Times New Roman" w:hAnsi="Times New Roman" w:cs="Times New Roman"/>
          <w:bCs/>
          <w:i/>
          <w:color w:val="000000" w:themeColor="text1"/>
          <w:sz w:val="24"/>
          <w:szCs w:val="24"/>
          <w:lang w:eastAsia="uk-UA"/>
        </w:rPr>
        <w:t xml:space="preserve"> по справі </w:t>
      </w:r>
      <w:r w:rsidR="00474EBD" w:rsidRPr="00E81790">
        <w:rPr>
          <w:rFonts w:ascii="Times New Roman" w:eastAsia="Times New Roman" w:hAnsi="Times New Roman" w:cs="Times New Roman"/>
          <w:i/>
          <w:color w:val="000000" w:themeColor="text1"/>
          <w:sz w:val="24"/>
          <w:szCs w:val="24"/>
          <w:lang w:eastAsia="uk-UA"/>
        </w:rPr>
        <w:t>№ 916/2081/17</w:t>
      </w:r>
      <w:r w:rsidRPr="00E81790">
        <w:rPr>
          <w:rFonts w:ascii="Times New Roman" w:eastAsia="Times New Roman" w:hAnsi="Times New Roman" w:cs="Times New Roman"/>
          <w:i/>
          <w:color w:val="000000" w:themeColor="text1"/>
          <w:sz w:val="24"/>
          <w:szCs w:val="24"/>
          <w:lang w:eastAsia="uk-UA"/>
        </w:rPr>
        <w:t>)</w:t>
      </w:r>
    </w:p>
    <w:p w:rsidR="009F4A34" w:rsidRPr="008F7BDB" w:rsidRDefault="009F4A34" w:rsidP="00604C9C">
      <w:pPr>
        <w:spacing w:after="0" w:line="240" w:lineRule="auto"/>
        <w:rPr>
          <w:rFonts w:ascii="Times New Roman" w:eastAsia="Times New Roman" w:hAnsi="Times New Roman" w:cs="Times New Roman"/>
          <w:i/>
          <w:color w:val="000000" w:themeColor="text1"/>
          <w:sz w:val="24"/>
          <w:szCs w:val="24"/>
          <w:lang w:eastAsia="uk-UA"/>
        </w:rPr>
      </w:pPr>
    </w:p>
    <w:p w:rsidR="004665BB" w:rsidRPr="008F7BDB" w:rsidRDefault="004665BB" w:rsidP="00604C9C">
      <w:pPr>
        <w:spacing w:after="0" w:line="240" w:lineRule="auto"/>
        <w:ind w:firstLine="708"/>
        <w:jc w:val="both"/>
        <w:rPr>
          <w:rFonts w:ascii="Times New Roman" w:eastAsia="Times New Roman" w:hAnsi="Times New Roman" w:cs="Times New Roman"/>
          <w:color w:val="000000"/>
          <w:sz w:val="24"/>
          <w:szCs w:val="24"/>
          <w:lang w:eastAsia="uk-UA"/>
        </w:rPr>
      </w:pPr>
      <w:r w:rsidRPr="008F7BDB">
        <w:rPr>
          <w:rFonts w:ascii="Times New Roman" w:eastAsia="Times New Roman" w:hAnsi="Times New Roman" w:cs="Times New Roman"/>
          <w:color w:val="000000"/>
          <w:sz w:val="24"/>
          <w:szCs w:val="24"/>
          <w:lang w:eastAsia="uk-UA"/>
        </w:rPr>
        <w:t xml:space="preserve">Позовні вимоги обґрунтовані тим, що позивач є учасником товариства з обмеженою відповідальністю, а оскаржувані рішення загальних зборів підлягають визнанню недійсними, оскільки вони прийняті за відсутності необхідного кворуму та з порушенням переважного права </w:t>
      </w:r>
      <w:r w:rsidR="00604C9C" w:rsidRPr="008F7BDB">
        <w:rPr>
          <w:rFonts w:ascii="Times New Roman" w:eastAsia="Times New Roman" w:hAnsi="Times New Roman" w:cs="Times New Roman"/>
          <w:color w:val="000000"/>
          <w:sz w:val="24"/>
          <w:szCs w:val="24"/>
          <w:lang w:eastAsia="uk-UA"/>
        </w:rPr>
        <w:t>іншого учасника</w:t>
      </w:r>
      <w:r w:rsidRPr="008F7BDB">
        <w:rPr>
          <w:rFonts w:ascii="Times New Roman" w:eastAsia="Times New Roman" w:hAnsi="Times New Roman" w:cs="Times New Roman"/>
          <w:color w:val="000000"/>
          <w:sz w:val="24"/>
          <w:szCs w:val="24"/>
          <w:lang w:eastAsia="uk-UA"/>
        </w:rPr>
        <w:t xml:space="preserve"> на придбання частки учасника, який її відступає, пропорційно його частці у статутному капіталі товариства.</w:t>
      </w:r>
    </w:p>
    <w:p w:rsidR="00604C9C" w:rsidRPr="008F7BDB" w:rsidRDefault="00604C9C" w:rsidP="00604C9C">
      <w:pPr>
        <w:spacing w:after="0" w:line="240" w:lineRule="auto"/>
        <w:ind w:firstLine="708"/>
        <w:jc w:val="both"/>
        <w:rPr>
          <w:rFonts w:ascii="Times New Roman" w:eastAsia="Times New Roman" w:hAnsi="Times New Roman" w:cs="Times New Roman"/>
          <w:color w:val="000000"/>
          <w:sz w:val="24"/>
          <w:szCs w:val="24"/>
          <w:lang w:eastAsia="uk-UA"/>
        </w:rPr>
      </w:pPr>
      <w:r w:rsidRPr="008F7BDB">
        <w:rPr>
          <w:rFonts w:ascii="Times New Roman" w:eastAsia="Times New Roman" w:hAnsi="Times New Roman" w:cs="Times New Roman"/>
          <w:color w:val="000000"/>
          <w:sz w:val="24"/>
          <w:szCs w:val="24"/>
          <w:lang w:eastAsia="uk-UA"/>
        </w:rPr>
        <w:t>Мотивуючи рішення, суд першої інстанції, з висновком якого погодився суд апеляційної інстанції, зазначив, що оскільки відповідно до вимог </w:t>
      </w:r>
      <w:hyperlink r:id="rId50" w:anchor="385"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sz w:val="24"/>
            <w:szCs w:val="24"/>
            <w:lang w:eastAsia="uk-UA"/>
          </w:rPr>
          <w:t>статті 60 Закону України від 19 вересня 1991 року № 1576-XII «Про господарські товариства»</w:t>
        </w:r>
      </w:hyperlink>
      <w:r w:rsidRPr="008F7BDB">
        <w:rPr>
          <w:rFonts w:ascii="Times New Roman" w:eastAsia="Times New Roman" w:hAnsi="Times New Roman" w:cs="Times New Roman"/>
          <w:color w:val="000000"/>
          <w:sz w:val="24"/>
          <w:szCs w:val="24"/>
          <w:lang w:eastAsia="uk-UA"/>
        </w:rPr>
        <w:t> (далі - Закон № 1576-XII) статутом товариства закріплено дійсність загальних зборів учасників за умови присутності на них учасників, які володіють у сукупності понад 70 % статутного фонду цього товариства, то загальні збори учасників відповідача, рішення яких оскаржуються, є проведеними за наявності необхідного кворуму та правомочними, а відповідні рішення - дійсними.</w:t>
      </w:r>
    </w:p>
    <w:p w:rsidR="00F42DB7" w:rsidRPr="008F7BDB" w:rsidRDefault="00F42DB7" w:rsidP="00604C9C">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 xml:space="preserve">Також суди попередніх інстанцій вказали, що положення статуту </w:t>
      </w:r>
      <w:r w:rsidR="00604C9C" w:rsidRPr="008F7BDB">
        <w:rPr>
          <w:rFonts w:ascii="Times New Roman" w:eastAsia="Times New Roman" w:hAnsi="Times New Roman" w:cs="Times New Roman"/>
          <w:color w:val="000000" w:themeColor="text1"/>
          <w:sz w:val="24"/>
          <w:szCs w:val="24"/>
          <w:lang w:eastAsia="uk-UA"/>
        </w:rPr>
        <w:t>товариства</w:t>
      </w:r>
      <w:r w:rsidRPr="008F7BDB">
        <w:rPr>
          <w:rFonts w:ascii="Times New Roman" w:eastAsia="Times New Roman" w:hAnsi="Times New Roman" w:cs="Times New Roman"/>
          <w:color w:val="000000" w:themeColor="text1"/>
          <w:sz w:val="24"/>
          <w:szCs w:val="24"/>
          <w:lang w:eastAsia="uk-UA"/>
        </w:rPr>
        <w:t xml:space="preserve"> стосовно чинності загальних зборів учасників при розгляді визначених цим статутом питань за умови присутності виключно всіх учасників товариства, а відповідних рішень - за умови їх одноголосного ухвалення не підлягають застосуванню в цій справі та не можуть впливати на </w:t>
      </w:r>
      <w:proofErr w:type="spellStart"/>
      <w:r w:rsidRPr="008F7BDB">
        <w:rPr>
          <w:rFonts w:ascii="Times New Roman" w:eastAsia="Times New Roman" w:hAnsi="Times New Roman" w:cs="Times New Roman"/>
          <w:color w:val="000000" w:themeColor="text1"/>
          <w:sz w:val="24"/>
          <w:szCs w:val="24"/>
          <w:lang w:eastAsia="uk-UA"/>
        </w:rPr>
        <w:t>повноважність</w:t>
      </w:r>
      <w:proofErr w:type="spellEnd"/>
      <w:r w:rsidRPr="008F7BDB">
        <w:rPr>
          <w:rFonts w:ascii="Times New Roman" w:eastAsia="Times New Roman" w:hAnsi="Times New Roman" w:cs="Times New Roman"/>
          <w:color w:val="000000" w:themeColor="text1"/>
          <w:sz w:val="24"/>
          <w:szCs w:val="24"/>
          <w:lang w:eastAsia="uk-UA"/>
        </w:rPr>
        <w:t xml:space="preserve"> зазначених зборів учасників відповідача, оскільки суперечать </w:t>
      </w:r>
      <w:hyperlink r:id="rId51"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themeColor="text1"/>
            <w:sz w:val="24"/>
            <w:szCs w:val="24"/>
            <w:lang w:eastAsia="uk-UA"/>
          </w:rPr>
          <w:t>Закону № 1576-XII</w:t>
        </w:r>
      </w:hyperlink>
      <w:r w:rsidRPr="008F7BDB">
        <w:rPr>
          <w:rFonts w:ascii="Times New Roman" w:eastAsia="Times New Roman" w:hAnsi="Times New Roman" w:cs="Times New Roman"/>
          <w:color w:val="000000" w:themeColor="text1"/>
          <w:sz w:val="24"/>
          <w:szCs w:val="24"/>
          <w:lang w:eastAsia="uk-UA"/>
        </w:rPr>
        <w:t>.</w:t>
      </w:r>
    </w:p>
    <w:p w:rsidR="00B74519" w:rsidRPr="008F7BDB" w:rsidRDefault="00B74519" w:rsidP="00604C9C">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 xml:space="preserve">Касаційну скаргу мотивовано тим, що положеннями статуту </w:t>
      </w:r>
      <w:r w:rsidR="00604C9C" w:rsidRPr="008F7BDB">
        <w:rPr>
          <w:rFonts w:ascii="Times New Roman" w:eastAsia="Times New Roman" w:hAnsi="Times New Roman" w:cs="Times New Roman"/>
          <w:color w:val="000000" w:themeColor="text1"/>
          <w:sz w:val="24"/>
          <w:szCs w:val="24"/>
          <w:lang w:eastAsia="uk-UA"/>
        </w:rPr>
        <w:t>товариства</w:t>
      </w:r>
      <w:r w:rsidRPr="008F7BDB">
        <w:rPr>
          <w:rFonts w:ascii="Times New Roman" w:eastAsia="Times New Roman" w:hAnsi="Times New Roman" w:cs="Times New Roman"/>
          <w:color w:val="000000" w:themeColor="text1"/>
          <w:sz w:val="24"/>
          <w:szCs w:val="24"/>
          <w:lang w:eastAsia="uk-UA"/>
        </w:rPr>
        <w:t>, які відповідають вимогам частини другої </w:t>
      </w:r>
      <w:hyperlink r:id="rId52" w:anchor="385"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themeColor="text1"/>
            <w:sz w:val="24"/>
            <w:szCs w:val="24"/>
            <w:lang w:eastAsia="uk-UA"/>
          </w:rPr>
          <w:t>статті 60 Закону № 1576-XII</w:t>
        </w:r>
      </w:hyperlink>
      <w:r w:rsidRPr="008F7BDB">
        <w:rPr>
          <w:rFonts w:ascii="Times New Roman" w:eastAsia="Times New Roman" w:hAnsi="Times New Roman" w:cs="Times New Roman"/>
          <w:color w:val="000000" w:themeColor="text1"/>
          <w:sz w:val="24"/>
          <w:szCs w:val="24"/>
          <w:lang w:eastAsia="uk-UA"/>
        </w:rPr>
        <w:t>, передбачено, що збори учасників вважатимуться дійсними, якщо на них присутні учасники товариства (як особисто, так і через представників), які володіють в сукупності понад 70 %, а при розгляді питань щодо визначення основних напрямків господарської діяльності товариства, ухвалення річного фінансового плану товариства, річних бюджетів; затвердження та ухвалення будь-яких змін до статуту, затвердження будь-яких змін у статутному фонді і в розмірах часток учасників товариства у статутному фонді, виключення учасників з товариства збори вважатимуться чинними за умови присутності всіх учасників товариства, а їх рішення будуть дійсними, якщо вони ухвалені одноголосно. Тому, оскільки, за твердженням скаржника, на спірних зборах учасників відповідача не були присутні всі учасники цього товариства, такі збори є неповноважними, а рішення, прийняті ними - недійсними.</w:t>
      </w:r>
    </w:p>
    <w:p w:rsidR="00F42DB7" w:rsidRPr="008F7BDB" w:rsidRDefault="00F42DB7" w:rsidP="00604C9C">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 xml:space="preserve">Касаційний господарський суд у складі Верховного Суду ухвалою від 05 квітня 2018 року відкрив касаційне провадження, а ухвалою від 06 червня 2018 року - передав справу разом з поданою </w:t>
      </w:r>
      <w:r w:rsidR="00604C9C" w:rsidRPr="008F7BDB">
        <w:rPr>
          <w:rFonts w:ascii="Times New Roman" w:eastAsia="Times New Roman" w:hAnsi="Times New Roman" w:cs="Times New Roman"/>
          <w:color w:val="000000" w:themeColor="text1"/>
          <w:sz w:val="24"/>
          <w:szCs w:val="24"/>
          <w:lang w:eastAsia="uk-UA"/>
        </w:rPr>
        <w:t>особою</w:t>
      </w:r>
      <w:r w:rsidRPr="008F7BDB">
        <w:rPr>
          <w:rFonts w:ascii="Times New Roman" w:eastAsia="Times New Roman" w:hAnsi="Times New Roman" w:cs="Times New Roman"/>
          <w:color w:val="000000" w:themeColor="text1"/>
          <w:sz w:val="24"/>
          <w:szCs w:val="24"/>
          <w:lang w:eastAsia="uk-UA"/>
        </w:rPr>
        <w:t xml:space="preserve"> касаційною скаргою на розгляд Великої</w:t>
      </w:r>
      <w:r w:rsidR="008F7BDB" w:rsidRPr="008F7BDB">
        <w:rPr>
          <w:rFonts w:ascii="Times New Roman" w:eastAsia="Times New Roman" w:hAnsi="Times New Roman" w:cs="Times New Roman"/>
          <w:color w:val="000000" w:themeColor="text1"/>
          <w:sz w:val="24"/>
          <w:szCs w:val="24"/>
          <w:lang w:eastAsia="uk-UA"/>
        </w:rPr>
        <w:t xml:space="preserve"> </w:t>
      </w:r>
      <w:r w:rsidRPr="008F7BDB">
        <w:rPr>
          <w:rFonts w:ascii="Times New Roman" w:eastAsia="Times New Roman" w:hAnsi="Times New Roman" w:cs="Times New Roman"/>
          <w:color w:val="000000" w:themeColor="text1"/>
          <w:sz w:val="24"/>
          <w:szCs w:val="24"/>
          <w:lang w:eastAsia="uk-UA"/>
        </w:rPr>
        <w:t>Палати Верховного Суду з огляду на необхідність відступлення від висновку щодо застосування норми права у подібних правовідносинах, викладеного в раніше ухваленому рішенні Верховного Суду України від 16 жовтня 2012 року у справі за № К15/109-11 (провадження № 3-46гс12).</w:t>
      </w:r>
    </w:p>
    <w:p w:rsidR="00F42DB7" w:rsidRPr="008F7BDB" w:rsidRDefault="00F42DB7" w:rsidP="00604C9C">
      <w:pPr>
        <w:spacing w:after="0" w:line="240" w:lineRule="auto"/>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Проте Велика Палата Верховного Суду не погоджується з таким висновком суду та вважає, що підстав для передачі цієї справи на її розгляд немає з огляду на таке.</w:t>
      </w:r>
    </w:p>
    <w:p w:rsidR="00F42DB7" w:rsidRPr="008F7BDB" w:rsidRDefault="00F42DB7" w:rsidP="00604C9C">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Відповідно до підпункту 7 пункту 1 </w:t>
      </w:r>
      <w:hyperlink r:id="rId53" w:anchor="2918" w:tgtFrame="_blank" w:tooltip="Господарський процесуальний кодекс України (ред. з 15.12.2017); нормативно-правовий акт № 1798-XII від 06.11.1991" w:history="1">
        <w:r w:rsidRPr="008F7BDB">
          <w:rPr>
            <w:rFonts w:ascii="Times New Roman" w:eastAsia="Times New Roman" w:hAnsi="Times New Roman" w:cs="Times New Roman"/>
            <w:color w:val="000000" w:themeColor="text1"/>
            <w:sz w:val="24"/>
            <w:szCs w:val="24"/>
            <w:lang w:eastAsia="uk-UA"/>
          </w:rPr>
          <w:t>розділу ХІ «Перехідні положення» Господарського процесуального кодексу України</w:t>
        </w:r>
      </w:hyperlink>
      <w:r w:rsidRPr="008F7BDB">
        <w:rPr>
          <w:rFonts w:ascii="Times New Roman" w:eastAsia="Times New Roman" w:hAnsi="Times New Roman" w:cs="Times New Roman"/>
          <w:color w:val="000000" w:themeColor="text1"/>
          <w:sz w:val="24"/>
          <w:szCs w:val="24"/>
          <w:lang w:eastAsia="uk-UA"/>
        </w:rPr>
        <w:t>, суд, який розглядає справу в касаційному порядку у складі колегії суддів або палати (об'єднаної палати), передає справу на розгляд Великої Палати Верховного Суду, якщо така колегія або палата (об'єднана палата) вважає за необхідне відступити від висновку щодо застосування норми права у подібних правовідносинах, викладеного в раніше ухваленому рішенні Верховного Суду України.</w:t>
      </w:r>
    </w:p>
    <w:p w:rsidR="00F42DB7" w:rsidRPr="008F7BDB" w:rsidRDefault="00F42DB7" w:rsidP="003C262A">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Мотивуючи своє рішення про передачу справи на розгляд Великої Палати Верховного Суду Касаційний господарський суд у складі Верховного Суду зазначив, що відповідно до указаного висновку Верховного Суду України передбачене частиною першою </w:t>
      </w:r>
      <w:hyperlink r:id="rId54" w:anchor="385"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themeColor="text1"/>
            <w:sz w:val="24"/>
            <w:szCs w:val="24"/>
            <w:lang w:eastAsia="uk-UA"/>
          </w:rPr>
          <w:t>статті 60 Закону № 1576-XII</w:t>
        </w:r>
      </w:hyperlink>
      <w:r w:rsidRPr="008F7BDB">
        <w:rPr>
          <w:rFonts w:ascii="Times New Roman" w:eastAsia="Times New Roman" w:hAnsi="Times New Roman" w:cs="Times New Roman"/>
          <w:color w:val="000000" w:themeColor="text1"/>
          <w:sz w:val="24"/>
          <w:szCs w:val="24"/>
          <w:lang w:eastAsia="uk-UA"/>
        </w:rPr>
        <w:t xml:space="preserve"> правило встановлення кворуму на загальних зборах учасників товариства (присутність учасників, які володіють у сукупності більш як 60 відсотками голосів) повинно </w:t>
      </w:r>
      <w:r w:rsidRPr="008F7BDB">
        <w:rPr>
          <w:rFonts w:ascii="Times New Roman" w:eastAsia="Times New Roman" w:hAnsi="Times New Roman" w:cs="Times New Roman"/>
          <w:color w:val="000000" w:themeColor="text1"/>
          <w:sz w:val="24"/>
          <w:szCs w:val="24"/>
          <w:lang w:eastAsia="uk-UA"/>
        </w:rPr>
        <w:lastRenderedPageBreak/>
        <w:t>дублюватися і в статуті, а положення, яке встановлює інше правило щодо визначення кворуму, є таким, що суперечить </w:t>
      </w:r>
      <w:hyperlink r:id="rId55"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themeColor="text1"/>
            <w:sz w:val="24"/>
            <w:szCs w:val="24"/>
            <w:lang w:eastAsia="uk-UA"/>
          </w:rPr>
          <w:t>закону</w:t>
        </w:r>
      </w:hyperlink>
      <w:r w:rsidRPr="008F7BDB">
        <w:rPr>
          <w:rFonts w:ascii="Times New Roman" w:eastAsia="Times New Roman" w:hAnsi="Times New Roman" w:cs="Times New Roman"/>
          <w:color w:val="000000" w:themeColor="text1"/>
          <w:sz w:val="24"/>
          <w:szCs w:val="24"/>
          <w:lang w:eastAsia="uk-UA"/>
        </w:rPr>
        <w:t>, оскільки в цій нормі </w:t>
      </w:r>
      <w:hyperlink r:id="rId56"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themeColor="text1"/>
            <w:sz w:val="24"/>
            <w:szCs w:val="24"/>
            <w:lang w:eastAsia="uk-UA"/>
          </w:rPr>
          <w:t>закону</w:t>
        </w:r>
      </w:hyperlink>
      <w:r w:rsidRPr="008F7BDB">
        <w:rPr>
          <w:rFonts w:ascii="Times New Roman" w:eastAsia="Times New Roman" w:hAnsi="Times New Roman" w:cs="Times New Roman"/>
          <w:color w:val="000000" w:themeColor="text1"/>
          <w:sz w:val="24"/>
          <w:szCs w:val="24"/>
          <w:lang w:eastAsia="uk-UA"/>
        </w:rPr>
        <w:t> відсутнє посилання на можливість передбачити у статуті інший кворум. Водночас, за твердженням Касаційного господарського суду у складі Верховного Суду, у товариствах з обмеженою відповідальністю, у яких відсутня державна частка, </w:t>
      </w:r>
      <w:hyperlink r:id="rId57"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themeColor="text1"/>
            <w:sz w:val="24"/>
            <w:szCs w:val="24"/>
            <w:lang w:eastAsia="uk-UA"/>
          </w:rPr>
          <w:t>закон</w:t>
        </w:r>
      </w:hyperlink>
      <w:r w:rsidRPr="008F7BDB">
        <w:rPr>
          <w:rFonts w:ascii="Times New Roman" w:eastAsia="Times New Roman" w:hAnsi="Times New Roman" w:cs="Times New Roman"/>
          <w:color w:val="000000" w:themeColor="text1"/>
          <w:sz w:val="24"/>
          <w:szCs w:val="24"/>
          <w:lang w:eastAsia="uk-UA"/>
        </w:rPr>
        <w:t> не встановлює обмежень прав учасників на встановлення за власним волевиявленням у статуті максимально можливого (100 %) кворуму, що є підставою для відступлення від наведеного висновку Верховного Суду України.</w:t>
      </w:r>
    </w:p>
    <w:p w:rsidR="00F42DB7" w:rsidRPr="008F7BDB" w:rsidRDefault="00F42DB7" w:rsidP="00604C9C">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Проте, як убачається зі змісту постанови Верховного Суду України від 16 жовтня 2012 року у справі за № К15/109-11 (провадження № 3-46гс12), Касаційний господарський суд у складі Верховного Суду не врахував, що Верховний Суд України дійшов зазначеного вище висновку, застосувавши положення частини першої </w:t>
      </w:r>
      <w:hyperlink r:id="rId58" w:anchor="385"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themeColor="text1"/>
            <w:sz w:val="24"/>
            <w:szCs w:val="24"/>
            <w:lang w:eastAsia="uk-UA"/>
          </w:rPr>
          <w:t>статті 60 Закону № 1576-XII</w:t>
        </w:r>
      </w:hyperlink>
      <w:r w:rsidRPr="008F7BDB">
        <w:rPr>
          <w:rFonts w:ascii="Times New Roman" w:eastAsia="Times New Roman" w:hAnsi="Times New Roman" w:cs="Times New Roman"/>
          <w:color w:val="000000" w:themeColor="text1"/>
          <w:sz w:val="24"/>
          <w:szCs w:val="24"/>
          <w:lang w:eastAsia="uk-UA"/>
        </w:rPr>
        <w:t> у редакції, чинній на час вирішення ним справи № К15/109-11.</w:t>
      </w:r>
    </w:p>
    <w:p w:rsidR="00F42DB7" w:rsidRPr="008F7BDB" w:rsidRDefault="00F42DB7" w:rsidP="00604C9C">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Водночас </w:t>
      </w:r>
      <w:hyperlink r:id="rId59" w:tgtFrame="_blank" w:tooltip="Про внесення змін до статті 60 Закону України " w:history="1">
        <w:r w:rsidRPr="008F7BDB">
          <w:rPr>
            <w:rFonts w:ascii="Times New Roman" w:eastAsia="Times New Roman" w:hAnsi="Times New Roman" w:cs="Times New Roman"/>
            <w:color w:val="000000" w:themeColor="text1"/>
            <w:sz w:val="24"/>
            <w:szCs w:val="24"/>
            <w:lang w:eastAsia="uk-UA"/>
          </w:rPr>
          <w:t>Законом України від 24 листопада 2015 року № 816-VIII «Про внесення змін до статті 60 Закону України «Про господарські товариства» щодо зменшення кворуму загальних зборів учасників товариства з обмеженою відповідальністю»</w:t>
        </w:r>
      </w:hyperlink>
      <w:r w:rsidRPr="008F7BDB">
        <w:rPr>
          <w:rFonts w:ascii="Times New Roman" w:eastAsia="Times New Roman" w:hAnsi="Times New Roman" w:cs="Times New Roman"/>
          <w:color w:val="000000" w:themeColor="text1"/>
          <w:sz w:val="24"/>
          <w:szCs w:val="24"/>
          <w:lang w:eastAsia="uk-UA"/>
        </w:rPr>
        <w:t> внесено зміни до </w:t>
      </w:r>
      <w:hyperlink r:id="rId60" w:anchor="385"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themeColor="text1"/>
            <w:sz w:val="24"/>
            <w:szCs w:val="24"/>
            <w:lang w:eastAsia="uk-UA"/>
          </w:rPr>
          <w:t>статті 60 Закону № 1576-XII</w:t>
        </w:r>
      </w:hyperlink>
      <w:r w:rsidRPr="008F7BDB">
        <w:rPr>
          <w:rFonts w:ascii="Times New Roman" w:eastAsia="Times New Roman" w:hAnsi="Times New Roman" w:cs="Times New Roman"/>
          <w:color w:val="000000" w:themeColor="text1"/>
          <w:sz w:val="24"/>
          <w:szCs w:val="24"/>
          <w:lang w:eastAsia="uk-UA"/>
        </w:rPr>
        <w:t>.</w:t>
      </w:r>
    </w:p>
    <w:p w:rsidR="00F42DB7" w:rsidRPr="008F7BDB" w:rsidRDefault="00F42DB7" w:rsidP="00604C9C">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Так, відповідно до частин першої - другої </w:t>
      </w:r>
      <w:hyperlink r:id="rId61" w:anchor="385" w:tgtFrame="_blank" w:tooltip="Про господарські товариства; нормативно-правовий акт № 1576-XII від 19.09.1991" w:history="1">
        <w:r w:rsidRPr="008F7BDB">
          <w:rPr>
            <w:rFonts w:ascii="Times New Roman" w:eastAsia="Times New Roman" w:hAnsi="Times New Roman" w:cs="Times New Roman"/>
            <w:color w:val="000000" w:themeColor="text1"/>
            <w:sz w:val="24"/>
            <w:szCs w:val="24"/>
            <w:lang w:eastAsia="uk-UA"/>
          </w:rPr>
          <w:t>статті 60 Закону № 1576-XII</w:t>
        </w:r>
      </w:hyperlink>
      <w:r w:rsidRPr="008F7BDB">
        <w:rPr>
          <w:rFonts w:ascii="Times New Roman" w:eastAsia="Times New Roman" w:hAnsi="Times New Roman" w:cs="Times New Roman"/>
          <w:color w:val="000000" w:themeColor="text1"/>
          <w:sz w:val="24"/>
          <w:szCs w:val="24"/>
          <w:lang w:eastAsia="uk-UA"/>
        </w:rPr>
        <w:t>, у редакції, чинній на час розгляду цієї справи судами попередніх інстанцій, загальні збори учасників вважаються повноважними, якщо на них присутні учасники (представники учасників), що володіють у сукупності більш як 50 відсотками голосів. Установчими документами товариств, у статутному капіталі яких відсутня державна частка, може бути встановлений інший відсоток голосів учасників (представників учасників), за умови присутності яких загальні збори учасників вважаються повноважними.</w:t>
      </w:r>
    </w:p>
    <w:p w:rsidR="00F42DB7" w:rsidRPr="004D0DFD" w:rsidRDefault="00F42DB7" w:rsidP="00604C9C">
      <w:pPr>
        <w:spacing w:after="0" w:line="240" w:lineRule="auto"/>
        <w:ind w:firstLine="708"/>
        <w:jc w:val="both"/>
        <w:rPr>
          <w:rFonts w:ascii="Times New Roman" w:eastAsia="Times New Roman" w:hAnsi="Times New Roman" w:cs="Times New Roman"/>
          <w:b/>
          <w:i/>
          <w:color w:val="000000" w:themeColor="text1"/>
          <w:sz w:val="24"/>
          <w:szCs w:val="24"/>
          <w:u w:val="single"/>
          <w:lang w:eastAsia="uk-UA"/>
        </w:rPr>
      </w:pPr>
      <w:r w:rsidRPr="004D0DFD">
        <w:rPr>
          <w:rFonts w:ascii="Times New Roman" w:eastAsia="Times New Roman" w:hAnsi="Times New Roman" w:cs="Times New Roman"/>
          <w:b/>
          <w:i/>
          <w:color w:val="000000" w:themeColor="text1"/>
          <w:sz w:val="24"/>
          <w:szCs w:val="24"/>
          <w:u w:val="single"/>
          <w:lang w:eastAsia="uk-UA"/>
        </w:rPr>
        <w:t>Таким чином, означена відмінність правового регулювання спірних відносин у цій справі та у справі № К15/109-11 не дає підстав для висновку про необхідність відступлення від висновку щодо застосування норми права у подібних правовідносинах, викладеного в раніше ухваленому рішенні Верховного Суду України від 16 жовтня 2012 року у справі за № К15/109-11 (провадження № 3-46гс12), а звідси - відсутні й відповідні підстави для передачі цієї справи на розгляд Великої Палати Верховного Суду.</w:t>
      </w:r>
    </w:p>
    <w:p w:rsidR="000724F7" w:rsidRPr="008F7BDB" w:rsidRDefault="00F42DB7" w:rsidP="00604C9C">
      <w:pPr>
        <w:spacing w:after="0" w:line="240" w:lineRule="auto"/>
        <w:ind w:firstLine="708"/>
        <w:jc w:val="both"/>
        <w:rPr>
          <w:rFonts w:ascii="Times New Roman" w:eastAsia="Times New Roman" w:hAnsi="Times New Roman" w:cs="Times New Roman"/>
          <w:color w:val="000000" w:themeColor="text1"/>
          <w:sz w:val="24"/>
          <w:szCs w:val="24"/>
          <w:lang w:eastAsia="uk-UA"/>
        </w:rPr>
      </w:pPr>
      <w:r w:rsidRPr="008F7BDB">
        <w:rPr>
          <w:rFonts w:ascii="Times New Roman" w:eastAsia="Times New Roman" w:hAnsi="Times New Roman" w:cs="Times New Roman"/>
          <w:color w:val="000000" w:themeColor="text1"/>
          <w:sz w:val="24"/>
          <w:szCs w:val="24"/>
          <w:lang w:eastAsia="uk-UA"/>
        </w:rPr>
        <w:t>За змістом абзацу другого підпункту 7 пункту 1 </w:t>
      </w:r>
      <w:hyperlink r:id="rId62" w:anchor="2918" w:tgtFrame="_blank" w:tooltip="Господарський процесуальний кодекс України (ред. з 15.12.2017); нормативно-правовий акт № 1798-XII від 06.11.1991" w:history="1">
        <w:r w:rsidRPr="008F7BDB">
          <w:rPr>
            <w:rFonts w:ascii="Times New Roman" w:eastAsia="Times New Roman" w:hAnsi="Times New Roman" w:cs="Times New Roman"/>
            <w:color w:val="000000" w:themeColor="text1"/>
            <w:sz w:val="24"/>
            <w:szCs w:val="24"/>
            <w:lang w:eastAsia="uk-UA"/>
          </w:rPr>
          <w:t>розділу ХІ «Перехідні положення» Господарського процесуального кодексу України</w:t>
        </w:r>
      </w:hyperlink>
      <w:r w:rsidRPr="008F7BDB">
        <w:rPr>
          <w:rFonts w:ascii="Times New Roman" w:eastAsia="Times New Roman" w:hAnsi="Times New Roman" w:cs="Times New Roman"/>
          <w:color w:val="000000" w:themeColor="text1"/>
          <w:sz w:val="24"/>
          <w:szCs w:val="24"/>
          <w:lang w:eastAsia="uk-UA"/>
        </w:rPr>
        <w:t xml:space="preserve"> якщо Велика Палата Верховного Суду дійде висновку про відсутність підстав для передачі справи на її розгляд, справа повертається (передається) відповідній колегії суддів або палаті (об'єднаній палаті) для розгляду, про що </w:t>
      </w:r>
      <w:proofErr w:type="spellStart"/>
      <w:r w:rsidRPr="008F7BDB">
        <w:rPr>
          <w:rFonts w:ascii="Times New Roman" w:eastAsia="Times New Roman" w:hAnsi="Times New Roman" w:cs="Times New Roman"/>
          <w:color w:val="000000" w:themeColor="text1"/>
          <w:sz w:val="24"/>
          <w:szCs w:val="24"/>
          <w:lang w:eastAsia="uk-UA"/>
        </w:rPr>
        <w:t>постановляється</w:t>
      </w:r>
      <w:proofErr w:type="spellEnd"/>
      <w:r w:rsidRPr="008F7BDB">
        <w:rPr>
          <w:rFonts w:ascii="Times New Roman" w:eastAsia="Times New Roman" w:hAnsi="Times New Roman" w:cs="Times New Roman"/>
          <w:color w:val="000000" w:themeColor="text1"/>
          <w:sz w:val="24"/>
          <w:szCs w:val="24"/>
          <w:lang w:eastAsia="uk-UA"/>
        </w:rPr>
        <w:t xml:space="preserve"> ухвала.</w:t>
      </w:r>
    </w:p>
    <w:p w:rsidR="00B74519" w:rsidRPr="00E81790" w:rsidRDefault="00B74519" w:rsidP="00604C9C">
      <w:pPr>
        <w:pStyle w:val="a3"/>
        <w:spacing w:before="0" w:beforeAutospacing="0" w:after="0" w:afterAutospacing="0"/>
        <w:jc w:val="both"/>
        <w:rPr>
          <w:color w:val="000000" w:themeColor="text1"/>
        </w:rPr>
      </w:pPr>
    </w:p>
    <w:p w:rsidR="00B74519" w:rsidRPr="00E81790" w:rsidRDefault="00B74519" w:rsidP="004665BB">
      <w:pPr>
        <w:spacing w:after="0" w:line="240" w:lineRule="auto"/>
        <w:jc w:val="both"/>
        <w:rPr>
          <w:rFonts w:ascii="Times New Roman" w:hAnsi="Times New Roman" w:cs="Times New Roman"/>
          <w:color w:val="000000" w:themeColor="text1"/>
          <w:sz w:val="24"/>
          <w:szCs w:val="24"/>
        </w:rPr>
      </w:pPr>
    </w:p>
    <w:p w:rsidR="00B573B8" w:rsidRPr="00C35F9B" w:rsidRDefault="00B42034" w:rsidP="00C35F9B">
      <w:pPr>
        <w:pStyle w:val="a5"/>
        <w:numPr>
          <w:ilvl w:val="0"/>
          <w:numId w:val="1"/>
        </w:numPr>
        <w:spacing w:after="0" w:line="240" w:lineRule="auto"/>
        <w:jc w:val="center"/>
        <w:rPr>
          <w:rFonts w:ascii="Times New Roman" w:hAnsi="Times New Roman" w:cs="Times New Roman"/>
          <w:b/>
          <w:color w:val="000000" w:themeColor="text1"/>
          <w:sz w:val="24"/>
          <w:szCs w:val="24"/>
          <w:u w:val="single"/>
          <w:lang w:val="ru-RU"/>
        </w:rPr>
      </w:pPr>
      <w:proofErr w:type="gramStart"/>
      <w:r w:rsidRPr="00C35F9B">
        <w:rPr>
          <w:rFonts w:ascii="Times New Roman" w:hAnsi="Times New Roman" w:cs="Times New Roman"/>
          <w:b/>
          <w:color w:val="000000" w:themeColor="text1"/>
          <w:sz w:val="24"/>
          <w:szCs w:val="24"/>
          <w:u w:val="single"/>
          <w:lang w:val="ru-RU"/>
        </w:rPr>
        <w:t>У справах</w:t>
      </w:r>
      <w:proofErr w:type="gramEnd"/>
      <w:r w:rsidRPr="00C35F9B">
        <w:rPr>
          <w:rFonts w:ascii="Times New Roman" w:hAnsi="Times New Roman" w:cs="Times New Roman"/>
          <w:b/>
          <w:color w:val="000000" w:themeColor="text1"/>
          <w:sz w:val="24"/>
          <w:szCs w:val="24"/>
          <w:u w:val="single"/>
          <w:lang w:val="ru-RU"/>
        </w:rPr>
        <w:t xml:space="preserve"> </w:t>
      </w:r>
      <w:proofErr w:type="spellStart"/>
      <w:r w:rsidRPr="00C35F9B">
        <w:rPr>
          <w:rFonts w:ascii="Times New Roman" w:hAnsi="Times New Roman" w:cs="Times New Roman"/>
          <w:b/>
          <w:color w:val="000000" w:themeColor="text1"/>
          <w:sz w:val="24"/>
          <w:szCs w:val="24"/>
          <w:u w:val="single"/>
          <w:lang w:val="ru-RU"/>
        </w:rPr>
        <w:t>щодо</w:t>
      </w:r>
      <w:proofErr w:type="spellEnd"/>
      <w:r w:rsidRPr="00C35F9B">
        <w:rPr>
          <w:rFonts w:ascii="Times New Roman" w:hAnsi="Times New Roman" w:cs="Times New Roman"/>
          <w:b/>
          <w:color w:val="000000" w:themeColor="text1"/>
          <w:sz w:val="24"/>
          <w:szCs w:val="24"/>
          <w:u w:val="single"/>
          <w:lang w:val="ru-RU"/>
        </w:rPr>
        <w:t xml:space="preserve"> </w:t>
      </w:r>
      <w:proofErr w:type="spellStart"/>
      <w:r w:rsidRPr="00C35F9B">
        <w:rPr>
          <w:rFonts w:ascii="Times New Roman" w:hAnsi="Times New Roman" w:cs="Times New Roman"/>
          <w:b/>
          <w:color w:val="000000" w:themeColor="text1"/>
          <w:sz w:val="24"/>
          <w:szCs w:val="24"/>
          <w:u w:val="single"/>
          <w:lang w:val="ru-RU"/>
        </w:rPr>
        <w:t>визнання</w:t>
      </w:r>
      <w:proofErr w:type="spellEnd"/>
      <w:r w:rsidRPr="00C35F9B">
        <w:rPr>
          <w:rFonts w:ascii="Times New Roman" w:hAnsi="Times New Roman" w:cs="Times New Roman"/>
          <w:b/>
          <w:color w:val="000000" w:themeColor="text1"/>
          <w:sz w:val="24"/>
          <w:szCs w:val="24"/>
          <w:u w:val="single"/>
          <w:lang w:val="ru-RU"/>
        </w:rPr>
        <w:t xml:space="preserve"> </w:t>
      </w:r>
      <w:proofErr w:type="spellStart"/>
      <w:r w:rsidRPr="00C35F9B">
        <w:rPr>
          <w:rFonts w:ascii="Times New Roman" w:hAnsi="Times New Roman" w:cs="Times New Roman"/>
          <w:b/>
          <w:color w:val="000000" w:themeColor="text1"/>
          <w:sz w:val="24"/>
          <w:szCs w:val="24"/>
          <w:u w:val="single"/>
          <w:lang w:val="ru-RU"/>
        </w:rPr>
        <w:t>рішень</w:t>
      </w:r>
      <w:proofErr w:type="spellEnd"/>
      <w:r w:rsidRPr="00C35F9B">
        <w:rPr>
          <w:rFonts w:ascii="Times New Roman" w:hAnsi="Times New Roman" w:cs="Times New Roman"/>
          <w:b/>
          <w:color w:val="000000" w:themeColor="text1"/>
          <w:sz w:val="24"/>
          <w:szCs w:val="24"/>
          <w:u w:val="single"/>
          <w:lang w:val="ru-RU"/>
        </w:rPr>
        <w:t xml:space="preserve"> </w:t>
      </w:r>
      <w:proofErr w:type="spellStart"/>
      <w:r w:rsidRPr="00C35F9B">
        <w:rPr>
          <w:rFonts w:ascii="Times New Roman" w:hAnsi="Times New Roman" w:cs="Times New Roman"/>
          <w:b/>
          <w:color w:val="000000" w:themeColor="text1"/>
          <w:sz w:val="24"/>
          <w:szCs w:val="24"/>
          <w:u w:val="single"/>
          <w:lang w:val="ru-RU"/>
        </w:rPr>
        <w:t>за</w:t>
      </w:r>
      <w:r w:rsidR="001D3DB5" w:rsidRPr="00C35F9B">
        <w:rPr>
          <w:rFonts w:ascii="Times New Roman" w:hAnsi="Times New Roman" w:cs="Times New Roman"/>
          <w:b/>
          <w:color w:val="000000" w:themeColor="text1"/>
          <w:sz w:val="24"/>
          <w:szCs w:val="24"/>
          <w:u w:val="single"/>
          <w:lang w:val="ru-RU"/>
        </w:rPr>
        <w:t>г</w:t>
      </w:r>
      <w:r w:rsidRPr="00C35F9B">
        <w:rPr>
          <w:rFonts w:ascii="Times New Roman" w:hAnsi="Times New Roman" w:cs="Times New Roman"/>
          <w:b/>
          <w:color w:val="000000" w:themeColor="text1"/>
          <w:sz w:val="24"/>
          <w:szCs w:val="24"/>
          <w:u w:val="single"/>
          <w:lang w:val="ru-RU"/>
        </w:rPr>
        <w:t>альних</w:t>
      </w:r>
      <w:proofErr w:type="spellEnd"/>
      <w:r w:rsidRPr="00C35F9B">
        <w:rPr>
          <w:rFonts w:ascii="Times New Roman" w:hAnsi="Times New Roman" w:cs="Times New Roman"/>
          <w:b/>
          <w:color w:val="000000" w:themeColor="text1"/>
          <w:sz w:val="24"/>
          <w:szCs w:val="24"/>
          <w:u w:val="single"/>
          <w:lang w:val="ru-RU"/>
        </w:rPr>
        <w:t xml:space="preserve"> </w:t>
      </w:r>
      <w:proofErr w:type="spellStart"/>
      <w:r w:rsidRPr="00C35F9B">
        <w:rPr>
          <w:rFonts w:ascii="Times New Roman" w:hAnsi="Times New Roman" w:cs="Times New Roman"/>
          <w:b/>
          <w:color w:val="000000" w:themeColor="text1"/>
          <w:sz w:val="24"/>
          <w:szCs w:val="24"/>
          <w:u w:val="single"/>
          <w:lang w:val="ru-RU"/>
        </w:rPr>
        <w:t>зборів</w:t>
      </w:r>
      <w:proofErr w:type="spellEnd"/>
      <w:r w:rsidRPr="00C35F9B">
        <w:rPr>
          <w:rFonts w:ascii="Times New Roman" w:hAnsi="Times New Roman" w:cs="Times New Roman"/>
          <w:b/>
          <w:color w:val="000000" w:themeColor="text1"/>
          <w:sz w:val="24"/>
          <w:szCs w:val="24"/>
          <w:u w:val="single"/>
          <w:lang w:val="ru-RU"/>
        </w:rPr>
        <w:t xml:space="preserve"> </w:t>
      </w:r>
      <w:proofErr w:type="spellStart"/>
      <w:r w:rsidRPr="00C35F9B">
        <w:rPr>
          <w:rFonts w:ascii="Times New Roman" w:hAnsi="Times New Roman" w:cs="Times New Roman"/>
          <w:b/>
          <w:color w:val="000000" w:themeColor="text1"/>
          <w:sz w:val="24"/>
          <w:szCs w:val="24"/>
          <w:u w:val="single"/>
          <w:lang w:val="ru-RU"/>
        </w:rPr>
        <w:t>недійсними</w:t>
      </w:r>
      <w:proofErr w:type="spellEnd"/>
      <w:r w:rsidR="008F7BDB" w:rsidRPr="00C35F9B">
        <w:rPr>
          <w:rFonts w:ascii="Times New Roman" w:hAnsi="Times New Roman" w:cs="Times New Roman"/>
          <w:b/>
          <w:color w:val="000000" w:themeColor="text1"/>
          <w:sz w:val="24"/>
          <w:szCs w:val="24"/>
          <w:u w:val="single"/>
          <w:lang w:val="ru-RU"/>
        </w:rPr>
        <w:t xml:space="preserve"> з </w:t>
      </w:r>
      <w:proofErr w:type="spellStart"/>
      <w:r w:rsidR="008F7BDB" w:rsidRPr="00C35F9B">
        <w:rPr>
          <w:rFonts w:ascii="Times New Roman" w:hAnsi="Times New Roman" w:cs="Times New Roman"/>
          <w:b/>
          <w:color w:val="000000" w:themeColor="text1"/>
          <w:sz w:val="24"/>
          <w:szCs w:val="24"/>
          <w:u w:val="single"/>
          <w:lang w:val="ru-RU"/>
        </w:rPr>
        <w:t>підстав</w:t>
      </w:r>
      <w:proofErr w:type="spellEnd"/>
      <w:r w:rsidR="008F7BDB" w:rsidRPr="00C35F9B">
        <w:rPr>
          <w:rFonts w:ascii="Times New Roman" w:hAnsi="Times New Roman" w:cs="Times New Roman"/>
          <w:b/>
          <w:color w:val="000000" w:themeColor="text1"/>
          <w:sz w:val="24"/>
          <w:szCs w:val="24"/>
          <w:u w:val="single"/>
          <w:lang w:val="ru-RU"/>
        </w:rPr>
        <w:t xml:space="preserve"> </w:t>
      </w:r>
      <w:proofErr w:type="spellStart"/>
      <w:r w:rsidR="008F7BDB" w:rsidRPr="00C35F9B">
        <w:rPr>
          <w:rFonts w:ascii="Times New Roman" w:hAnsi="Times New Roman" w:cs="Times New Roman"/>
          <w:b/>
          <w:color w:val="000000" w:themeColor="text1"/>
          <w:sz w:val="24"/>
          <w:szCs w:val="24"/>
          <w:u w:val="single"/>
          <w:lang w:val="ru-RU"/>
        </w:rPr>
        <w:t>порушення</w:t>
      </w:r>
      <w:proofErr w:type="spellEnd"/>
      <w:r w:rsidR="008F7BDB" w:rsidRPr="00C35F9B">
        <w:rPr>
          <w:rFonts w:ascii="Times New Roman" w:hAnsi="Times New Roman" w:cs="Times New Roman"/>
          <w:b/>
          <w:color w:val="000000" w:themeColor="text1"/>
          <w:sz w:val="24"/>
          <w:szCs w:val="24"/>
          <w:u w:val="single"/>
          <w:lang w:val="ru-RU"/>
        </w:rPr>
        <w:t xml:space="preserve"> порядку </w:t>
      </w:r>
      <w:proofErr w:type="spellStart"/>
      <w:r w:rsidR="008F7BDB" w:rsidRPr="00C35F9B">
        <w:rPr>
          <w:rFonts w:ascii="Times New Roman" w:hAnsi="Times New Roman" w:cs="Times New Roman"/>
          <w:b/>
          <w:color w:val="000000" w:themeColor="text1"/>
          <w:sz w:val="24"/>
          <w:szCs w:val="24"/>
          <w:u w:val="single"/>
          <w:lang w:val="ru-RU"/>
        </w:rPr>
        <w:t>їх</w:t>
      </w:r>
      <w:proofErr w:type="spellEnd"/>
      <w:r w:rsidR="008F7BDB" w:rsidRPr="00C35F9B">
        <w:rPr>
          <w:rFonts w:ascii="Times New Roman" w:hAnsi="Times New Roman" w:cs="Times New Roman"/>
          <w:b/>
          <w:color w:val="000000" w:themeColor="text1"/>
          <w:sz w:val="24"/>
          <w:szCs w:val="24"/>
          <w:u w:val="single"/>
          <w:lang w:val="ru-RU"/>
        </w:rPr>
        <w:t xml:space="preserve"> </w:t>
      </w:r>
      <w:proofErr w:type="spellStart"/>
      <w:r w:rsidR="008F7BDB" w:rsidRPr="00C35F9B">
        <w:rPr>
          <w:rFonts w:ascii="Times New Roman" w:hAnsi="Times New Roman" w:cs="Times New Roman"/>
          <w:b/>
          <w:color w:val="000000" w:themeColor="text1"/>
          <w:sz w:val="24"/>
          <w:szCs w:val="24"/>
          <w:u w:val="single"/>
          <w:lang w:val="ru-RU"/>
        </w:rPr>
        <w:t>скликання</w:t>
      </w:r>
      <w:proofErr w:type="spellEnd"/>
      <w:r w:rsidR="008F7BDB" w:rsidRPr="00C35F9B">
        <w:rPr>
          <w:rFonts w:ascii="Times New Roman" w:hAnsi="Times New Roman" w:cs="Times New Roman"/>
          <w:b/>
          <w:color w:val="000000" w:themeColor="text1"/>
          <w:sz w:val="24"/>
          <w:szCs w:val="24"/>
          <w:u w:val="single"/>
          <w:lang w:val="ru-RU"/>
        </w:rPr>
        <w:t>.</w:t>
      </w:r>
    </w:p>
    <w:p w:rsidR="00B42034" w:rsidRPr="00E81790" w:rsidRDefault="00B42034" w:rsidP="004665BB">
      <w:pPr>
        <w:spacing w:after="0" w:line="240" w:lineRule="auto"/>
        <w:jc w:val="center"/>
        <w:rPr>
          <w:rFonts w:ascii="Times New Roman" w:hAnsi="Times New Roman" w:cs="Times New Roman"/>
          <w:b/>
          <w:color w:val="000000" w:themeColor="text1"/>
          <w:sz w:val="24"/>
          <w:szCs w:val="24"/>
          <w:u w:val="single"/>
          <w:lang w:val="ru-RU"/>
        </w:rPr>
      </w:pPr>
    </w:p>
    <w:p w:rsidR="00227B09" w:rsidRPr="00E81790" w:rsidRDefault="00B42034" w:rsidP="004665BB">
      <w:pPr>
        <w:pStyle w:val="a3"/>
        <w:spacing w:before="0" w:beforeAutospacing="0" w:after="0" w:afterAutospacing="0"/>
        <w:ind w:firstLine="708"/>
        <w:jc w:val="both"/>
        <w:rPr>
          <w:color w:val="000000" w:themeColor="text1"/>
        </w:rPr>
      </w:pPr>
      <w:r w:rsidRPr="00E81790">
        <w:rPr>
          <w:color w:val="000000" w:themeColor="text1"/>
        </w:rPr>
        <w:t xml:space="preserve">Верховним судом у справі </w:t>
      </w:r>
      <w:r w:rsidR="00227B09" w:rsidRPr="00E81790">
        <w:rPr>
          <w:color w:val="000000" w:themeColor="text1"/>
        </w:rPr>
        <w:t xml:space="preserve"> №  920/432/17</w:t>
      </w:r>
      <w:r w:rsidRPr="00E81790">
        <w:rPr>
          <w:color w:val="000000" w:themeColor="text1"/>
        </w:rPr>
        <w:t xml:space="preserve"> було зазначено, що п</w:t>
      </w:r>
      <w:r w:rsidR="00227B09" w:rsidRPr="00E81790">
        <w:rPr>
          <w:color w:val="000000" w:themeColor="text1"/>
        </w:rPr>
        <w:t>ід час розгляду справ у спорах про визнання недійсними рішень зборів акціонерів з підстав недотр</w:t>
      </w:r>
      <w:r w:rsidR="000724F7" w:rsidRPr="00E81790">
        <w:rPr>
          <w:color w:val="000000" w:themeColor="text1"/>
        </w:rPr>
        <w:t>имання вимог закону чи статуту а</w:t>
      </w:r>
      <w:r w:rsidR="00227B09" w:rsidRPr="00E81790">
        <w:rPr>
          <w:color w:val="000000" w:themeColor="text1"/>
        </w:rPr>
        <w:t xml:space="preserve">кціонерного товариства щодо повідомлення акціонерів про скликання загальних зборів господарським судам слід враховувати, що порядок повідомлення акціонерів передбачено частиною першою статті </w:t>
      </w:r>
      <w:hyperlink r:id="rId63" w:anchor="336" w:tgtFrame="_blank" w:tooltip="Про акціонерні товариства; нормативно-правовий акт № 514-VI від 17.09.2008" w:history="1">
        <w:r w:rsidR="00227B09" w:rsidRPr="00E81790">
          <w:rPr>
            <w:rStyle w:val="a4"/>
            <w:color w:val="000000" w:themeColor="text1"/>
          </w:rPr>
          <w:t>35</w:t>
        </w:r>
      </w:hyperlink>
      <w:r w:rsidR="00227B09" w:rsidRPr="00E81790">
        <w:rPr>
          <w:color w:val="000000" w:themeColor="text1"/>
        </w:rPr>
        <w:t xml:space="preserve">, частиною шостою статті </w:t>
      </w:r>
      <w:hyperlink r:id="rId64" w:anchor="462" w:tgtFrame="_blank" w:tooltip="Про акціонерні товариства; нормативно-правовий акт № 514-VI від 17.09.2008" w:history="1">
        <w:r w:rsidR="00227B09" w:rsidRPr="00E81790">
          <w:rPr>
            <w:rStyle w:val="a4"/>
            <w:color w:val="000000" w:themeColor="text1"/>
            <w:u w:val="none"/>
          </w:rPr>
          <w:t>47 Закону України "Про акціонерні товариства"</w:t>
        </w:r>
      </w:hyperlink>
      <w:r w:rsidR="00227B09" w:rsidRPr="00E81790">
        <w:rPr>
          <w:color w:val="000000" w:themeColor="text1"/>
        </w:rPr>
        <w:t>. Публікація у засобах масової інформації повідомлення про скликання загальних зборів не свідчить про те, що зареєстрований у реєстрі власників іменних цінних паперів акціонер був повідомлений про скликання загальних зборів, а відсутність або порушення строків публікації зазначеного повідомлення не може вважатися порушенням порядку повідомлення тих акціонерів, щодо яких судом встановлено факт його належного персонального повідомлення про скликання цих загальних зборів.</w:t>
      </w:r>
    </w:p>
    <w:p w:rsidR="00227B09" w:rsidRPr="008F7BDB" w:rsidRDefault="00B42034" w:rsidP="004665BB">
      <w:pPr>
        <w:pStyle w:val="a3"/>
        <w:spacing w:before="0" w:beforeAutospacing="0" w:after="0" w:afterAutospacing="0"/>
        <w:ind w:firstLine="708"/>
        <w:jc w:val="both"/>
        <w:rPr>
          <w:color w:val="000000" w:themeColor="text1"/>
        </w:rPr>
      </w:pPr>
      <w:r w:rsidRPr="00E81790">
        <w:rPr>
          <w:color w:val="000000" w:themeColor="text1"/>
        </w:rPr>
        <w:t>Верховний суд зазначає, що с</w:t>
      </w:r>
      <w:r w:rsidR="00227B09" w:rsidRPr="00E81790">
        <w:rPr>
          <w:color w:val="000000" w:themeColor="text1"/>
        </w:rPr>
        <w:t xml:space="preserve">удам слід враховувати, що рішення, прийняті за наслідками розгляду питань, викладених у порядку денному так, що унеможливлювало усвідомлення акціонером суті питання, яке пропонувалося розглянути на загальних зборах </w:t>
      </w:r>
      <w:r w:rsidR="00227B09" w:rsidRPr="00E81790">
        <w:rPr>
          <w:color w:val="000000" w:themeColor="text1"/>
        </w:rPr>
        <w:lastRenderedPageBreak/>
        <w:t xml:space="preserve">акціонерів (наприклад, "Різне", "Організаційні питання" тощо), повинні визнаватися недійсними у зв'язку з порушенням в таких випадках права акціонера на попереднє </w:t>
      </w:r>
      <w:r w:rsidR="00227B09" w:rsidRPr="008F7BDB">
        <w:rPr>
          <w:color w:val="000000" w:themeColor="text1"/>
        </w:rPr>
        <w:t xml:space="preserve">ознайомлення з переліком питань, що виносяться на голосування, передбачене </w:t>
      </w:r>
      <w:hyperlink r:id="rId65" w:anchor="336" w:tgtFrame="_blank" w:tooltip="Про акціонерні товариства; нормативно-правовий акт № 514-VI від 17.09.2008" w:history="1">
        <w:r w:rsidR="00227B09" w:rsidRPr="008F7BDB">
          <w:rPr>
            <w:rStyle w:val="a4"/>
            <w:color w:val="000000" w:themeColor="text1"/>
            <w:u w:val="none"/>
          </w:rPr>
          <w:t>статтею 35 Закону України "Про акціонерні товариства"</w:t>
        </w:r>
      </w:hyperlink>
      <w:r w:rsidR="00227B09" w:rsidRPr="008F7BDB">
        <w:rPr>
          <w:color w:val="000000" w:themeColor="text1"/>
        </w:rPr>
        <w:t xml:space="preserve">. </w:t>
      </w:r>
    </w:p>
    <w:p w:rsidR="00227B09" w:rsidRPr="00E81790" w:rsidRDefault="00227B09" w:rsidP="004665BB">
      <w:pPr>
        <w:pStyle w:val="a3"/>
        <w:spacing w:before="0" w:beforeAutospacing="0" w:after="0" w:afterAutospacing="0"/>
        <w:ind w:firstLine="708"/>
        <w:jc w:val="both"/>
        <w:rPr>
          <w:color w:val="000000" w:themeColor="text1"/>
        </w:rPr>
      </w:pPr>
      <w:r w:rsidRPr="008F7BDB">
        <w:rPr>
          <w:color w:val="000000" w:themeColor="text1"/>
        </w:rPr>
        <w:t>За змістом питань порядку денного, на</w:t>
      </w:r>
      <w:r w:rsidRPr="00E81790">
        <w:rPr>
          <w:color w:val="000000" w:themeColor="text1"/>
        </w:rPr>
        <w:t xml:space="preserve"> розгляд було винесено питання про доцільність скликання позачергових загальних зборів акціонерів та прийняття рішення за наслідком обговорення цього питання, тоді як вирішення інших питань, щодо яких наглядовою радою прийнято рішення в межах розгляду даного питання, порядком денним не передбачено та підлягало розгляду в порядку передбаченому Положенням, з попереднім ознайомленням членів товариства  з переліком усіх питань, що виносяться на голосування, документами, які пропонуються до затвердження тощо.</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Втім, в повідомленні відсутня будь-яка інформація про підстави проведення позачергового засідання та ініціатора зборів, не зазначено про те, що збори є позачерговими, до повідомлення не долучено порядку денного.</w:t>
      </w:r>
    </w:p>
    <w:p w:rsidR="00227B09" w:rsidRPr="00E81790" w:rsidRDefault="00227B09" w:rsidP="004665BB">
      <w:pPr>
        <w:pStyle w:val="a3"/>
        <w:spacing w:before="0" w:beforeAutospacing="0" w:after="0" w:afterAutospacing="0"/>
        <w:ind w:firstLine="708"/>
        <w:jc w:val="both"/>
        <w:rPr>
          <w:i/>
          <w:color w:val="000000" w:themeColor="text1"/>
        </w:rPr>
      </w:pPr>
      <w:r w:rsidRPr="00E81790">
        <w:rPr>
          <w:i/>
          <w:color w:val="000000" w:themeColor="text1"/>
        </w:rPr>
        <w:t>Отже, відсутність вказаних документів унеможливила усвідомлення членом наглядової ради суті питання (про проведення позачергових загальних зборів акціонерів), яке пропонується розглянути, ознайомитись з порядком денним зборів для його подальшого затвердження чи доповнення додатковими питаннями, внести пропозиції  до порядку денного чи свої пропозиції щодо доцільності чи недоцільності проведення позачергових загальних зборів тощо.</w:t>
      </w:r>
    </w:p>
    <w:p w:rsidR="00227B09" w:rsidRPr="00E81790" w:rsidRDefault="00227B09" w:rsidP="004665BB">
      <w:pPr>
        <w:pStyle w:val="a3"/>
        <w:spacing w:before="0" w:beforeAutospacing="0" w:after="0" w:afterAutospacing="0"/>
        <w:ind w:firstLine="708"/>
        <w:jc w:val="both"/>
        <w:rPr>
          <w:color w:val="000000" w:themeColor="text1"/>
        </w:rPr>
      </w:pPr>
      <w:r w:rsidRPr="008F7BDB">
        <w:rPr>
          <w:color w:val="000000" w:themeColor="text1"/>
        </w:rPr>
        <w:t xml:space="preserve">Приписами частини 1 </w:t>
      </w:r>
      <w:hyperlink r:id="rId66" w:anchor="336" w:tgtFrame="_blank" w:tooltip="Про акціонерні товариства; нормативно-правовий акт № 514-VI від 17.09.2008" w:history="1">
        <w:r w:rsidRPr="008F7BDB">
          <w:rPr>
            <w:rStyle w:val="a4"/>
            <w:color w:val="000000" w:themeColor="text1"/>
            <w:u w:val="none"/>
          </w:rPr>
          <w:t>статті 35 Закону України "Про акціонерні товариства"</w:t>
        </w:r>
      </w:hyperlink>
      <w:r w:rsidRPr="008F7BDB">
        <w:rPr>
          <w:color w:val="000000" w:themeColor="text1"/>
        </w:rPr>
        <w:t xml:space="preserve"> передбачено, що  письмове повідомлення про проведення загальних зборів акціонерного товариства та проект порядку денного надсилається кожному акціонеру, зазначеному в переліку акціонерів, складеному в порядку, встановленому законодавством про депозитарну</w:t>
      </w:r>
      <w:r w:rsidRPr="00E81790">
        <w:rPr>
          <w:color w:val="000000" w:themeColor="text1"/>
        </w:rPr>
        <w:t xml:space="preserve"> систему України, на дату, визначену наглядовою радою, а в разі скликання позачергових загальних зборів на вимогу акціонерів у випадках, передбачених частиною шостою </w:t>
      </w:r>
      <w:hyperlink r:id="rId67" w:anchor="462" w:tgtFrame="_blank" w:tooltip="Про акціонерні товариства; нормативно-правовий акт № 514-VI від 17.09.2008" w:history="1">
        <w:r w:rsidRPr="00E81790">
          <w:rPr>
            <w:rStyle w:val="a4"/>
            <w:color w:val="000000" w:themeColor="text1"/>
          </w:rPr>
          <w:t>статті 47 цього Закону</w:t>
        </w:r>
      </w:hyperlink>
      <w:r w:rsidRPr="00E81790">
        <w:rPr>
          <w:color w:val="000000" w:themeColor="text1"/>
        </w:rPr>
        <w:t>, - акціонерами, які цього вимагають. Встановлена дата не може передувати дню прийняття рішення про проведення загальних зборів і не може бути встановленою раніше, ніж за 60 днів до дати проведення загальних зборів.</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 xml:space="preserve">Як вбачається з </w:t>
      </w:r>
      <w:r w:rsidR="00FA6FC6" w:rsidRPr="00E81790">
        <w:rPr>
          <w:color w:val="000000" w:themeColor="text1"/>
        </w:rPr>
        <w:t>протоколу</w:t>
      </w:r>
      <w:r w:rsidRPr="00E81790">
        <w:rPr>
          <w:color w:val="000000" w:themeColor="text1"/>
        </w:rPr>
        <w:t>, наглядовою радою вирішено визначити дату складення переліку акціонерів для надсилання повідомлень акціонерам про проведення позачергових загальних зборів акціонерів товариства</w:t>
      </w:r>
      <w:r w:rsidR="00FA6FC6" w:rsidRPr="00E81790">
        <w:rPr>
          <w:color w:val="000000" w:themeColor="text1"/>
        </w:rPr>
        <w:t>.</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Отже, всупереч приписів чинного законодавства відповідачем визначено дату складання переліку акціонерів, яка передує дню прийняття рішення про проведення таких зборів.</w:t>
      </w:r>
    </w:p>
    <w:p w:rsidR="00227B09" w:rsidRPr="008F7BDB" w:rsidRDefault="00227B09" w:rsidP="004665BB">
      <w:pPr>
        <w:pStyle w:val="a3"/>
        <w:spacing w:before="0" w:beforeAutospacing="0" w:after="0" w:afterAutospacing="0"/>
        <w:ind w:firstLine="708"/>
        <w:jc w:val="both"/>
        <w:rPr>
          <w:color w:val="000000" w:themeColor="text1"/>
        </w:rPr>
      </w:pPr>
      <w:r w:rsidRPr="008F7BDB">
        <w:rPr>
          <w:color w:val="000000" w:themeColor="text1"/>
        </w:rPr>
        <w:t xml:space="preserve">Відповідно п. 2 Загальної частини Правил надання послуг поштового зв'язку, затверджених </w:t>
      </w:r>
      <w:hyperlink r:id="rId68" w:tgtFrame="_blank" w:tooltip="Про затвердження Правил надання послуг поштового зв'язку; нормативно-правовий акт № 270 від 05.03.2009" w:history="1">
        <w:r w:rsidRPr="008F7BDB">
          <w:rPr>
            <w:rStyle w:val="a4"/>
            <w:color w:val="000000" w:themeColor="text1"/>
            <w:u w:val="none"/>
          </w:rPr>
          <w:t>Постановою Кабінету Міністрів  України  №270 від 05 березня 2009 року</w:t>
        </w:r>
      </w:hyperlink>
      <w:r w:rsidRPr="008F7BDB">
        <w:rPr>
          <w:color w:val="000000" w:themeColor="text1"/>
        </w:rPr>
        <w:t xml:space="preserve">, згруповані поштові відправлення, поштові перекази - внутрішні реєстровані поштові відправлення, поштові перекази, кількість яких становить п'ять і більше, що одночасно подаються для пересилання одним відправником. </w:t>
      </w:r>
    </w:p>
    <w:p w:rsidR="00227B09" w:rsidRPr="008F7BDB" w:rsidRDefault="00227B09" w:rsidP="004665BB">
      <w:pPr>
        <w:pStyle w:val="a3"/>
        <w:spacing w:before="0" w:beforeAutospacing="0" w:after="0" w:afterAutospacing="0"/>
        <w:ind w:firstLine="708"/>
        <w:jc w:val="both"/>
        <w:rPr>
          <w:color w:val="000000" w:themeColor="text1"/>
        </w:rPr>
      </w:pPr>
      <w:r w:rsidRPr="008F7BDB">
        <w:rPr>
          <w:color w:val="000000" w:themeColor="text1"/>
        </w:rPr>
        <w:t xml:space="preserve">Відповідно до </w:t>
      </w:r>
      <w:proofErr w:type="spellStart"/>
      <w:r w:rsidRPr="008F7BDB">
        <w:rPr>
          <w:color w:val="000000" w:themeColor="text1"/>
        </w:rPr>
        <w:t>п.п</w:t>
      </w:r>
      <w:proofErr w:type="spellEnd"/>
      <w:r w:rsidRPr="008F7BDB">
        <w:rPr>
          <w:color w:val="000000" w:themeColor="text1"/>
        </w:rPr>
        <w:t xml:space="preserve">. 66, 67 Правил надання послуг поштового зв'язку, затверджених </w:t>
      </w:r>
      <w:hyperlink r:id="rId69" w:tgtFrame="_blank" w:tooltip="Про затвердження Правил надання послуг поштового зв'язку; нормативно-правовий акт № 270 від 05.03.2009" w:history="1">
        <w:r w:rsidRPr="008F7BDB">
          <w:rPr>
            <w:rStyle w:val="a4"/>
            <w:color w:val="000000" w:themeColor="text1"/>
            <w:u w:val="none"/>
          </w:rPr>
          <w:t>постановою Кабінету Міністрів України № 270 від 05 березня 2009 року</w:t>
        </w:r>
      </w:hyperlink>
      <w:r w:rsidRPr="008F7BDB">
        <w:rPr>
          <w:color w:val="000000" w:themeColor="text1"/>
        </w:rPr>
        <w:t xml:space="preserve">, у разі відправляння згрупованих поштових відправлень, поштових переказів відправник складає їх список. Кількість поштових відправлень, поштових переказів одного виду та категорії, що включається до одного списку, кількість примірників списків та необхідність подання їх в електронному вигляді визначається оператором поштового зв'язку. До списку включаються поштові відправлення, поштові перекази, згруповані за способом пересилання. </w:t>
      </w:r>
    </w:p>
    <w:p w:rsidR="00227B09" w:rsidRPr="008F7BDB" w:rsidRDefault="00227B09" w:rsidP="008F7BDB">
      <w:pPr>
        <w:pStyle w:val="a3"/>
        <w:spacing w:before="0" w:beforeAutospacing="0" w:after="0" w:afterAutospacing="0"/>
        <w:ind w:firstLine="708"/>
        <w:jc w:val="both"/>
        <w:rPr>
          <w:color w:val="000000" w:themeColor="text1"/>
        </w:rPr>
      </w:pPr>
      <w:r w:rsidRPr="008F7BDB">
        <w:rPr>
          <w:color w:val="000000" w:themeColor="text1"/>
        </w:rPr>
        <w:t>Список засвідчується підписом відправника. Якщо відправником є юридична особа, список згрупованих внутрішніх рекомендованих поштових карток, листів, бандеролей засвідчується підписом відповідального працівника цієї особи, список згрупованих внутрішніх листів та бандеролей з оголошеною цінністю, посилок, прямих контейнерів, поштових переказів - підписами керівника та головного бухгалтера. Підписи скріплюються відповідними печатками (за наявності).</w:t>
      </w:r>
    </w:p>
    <w:p w:rsidR="00227B09" w:rsidRPr="008F7BDB" w:rsidRDefault="00227B09" w:rsidP="004665BB">
      <w:pPr>
        <w:pStyle w:val="a3"/>
        <w:spacing w:before="0" w:beforeAutospacing="0" w:after="0" w:afterAutospacing="0"/>
        <w:ind w:firstLine="708"/>
        <w:jc w:val="both"/>
        <w:rPr>
          <w:color w:val="000000" w:themeColor="text1"/>
        </w:rPr>
      </w:pPr>
      <w:r w:rsidRPr="008F7BDB">
        <w:rPr>
          <w:color w:val="000000" w:themeColor="text1"/>
        </w:rPr>
        <w:lastRenderedPageBreak/>
        <w:t>Згідно п. 3.8.2.1 Порядку пересилання поштових відправлень, затверджених наказом Українського державного підприємства поштового зв'язку "Укрпошта", якщо список згрупованих поштових відправлень ф. 103 складено на двох і більше аркушах, працівник поштового зв'язку ставить на них відбиток календарного штемпеля дня приймання поштових відправлень, а на останньому аркуші, крім того, розписується.</w:t>
      </w:r>
    </w:p>
    <w:p w:rsidR="00227B09" w:rsidRPr="008F7BDB" w:rsidRDefault="00227B09" w:rsidP="004665BB">
      <w:pPr>
        <w:pStyle w:val="a3"/>
        <w:spacing w:before="0" w:beforeAutospacing="0" w:after="0" w:afterAutospacing="0"/>
        <w:ind w:firstLine="708"/>
        <w:jc w:val="both"/>
        <w:rPr>
          <w:color w:val="000000" w:themeColor="text1"/>
        </w:rPr>
      </w:pPr>
      <w:r w:rsidRPr="008F7BDB">
        <w:rPr>
          <w:color w:val="000000" w:themeColor="text1"/>
        </w:rPr>
        <w:t>На прийняті згруповані поштові відправлення за списками ф.103, складеними однією юридичною особою, видається один розрахунковий документ, або на кожний список - окремі розрахункові документи. При прийманні рекомендованих відправлень в касовому  чеку (розрахунковій квитанції) зазначаються: номер списку, найменування відправника, вид поштових відправлень, їх кількість, форма оплати, сума плати за пересилання. На послуги поштового зв'язку щодо поштових відправлень (написання адреси, заповнення списку ф.103, упакування тощо) відправнику видається окремий розрахунковий документ. Розрахунковий документ разом з копією списку ф. 103 видається відправнику (п.3.8.2.3 Порядку пересилання поштових відправлень).</w:t>
      </w:r>
    </w:p>
    <w:p w:rsidR="00227B09" w:rsidRPr="008F7BDB" w:rsidRDefault="00227B09" w:rsidP="004665BB">
      <w:pPr>
        <w:pStyle w:val="a3"/>
        <w:spacing w:before="0" w:beforeAutospacing="0" w:after="0" w:afterAutospacing="0"/>
        <w:ind w:firstLine="708"/>
        <w:jc w:val="both"/>
        <w:rPr>
          <w:color w:val="000000" w:themeColor="text1"/>
        </w:rPr>
      </w:pPr>
      <w:r w:rsidRPr="008F7BDB">
        <w:rPr>
          <w:color w:val="000000" w:themeColor="text1"/>
        </w:rPr>
        <w:t>Отже, долучені відповідачем списки поштових відправлень не відповідають затвердженій ф. 103, не містять номеру та дати, в зазначених списках не вказано відправника та адреси отримувачів, відсутні підпис представника відправника та працівника поштового зв'язку, відсутній розрахунковий документ по кожному з списків, зазначений список не містить відомостей про те, що особам, які у нього зазначені, направлено саме повідомлення про проведення позачергових загальних зборів та їх порядок денний.</w:t>
      </w:r>
    </w:p>
    <w:p w:rsidR="00227B09" w:rsidRPr="008F7BDB" w:rsidRDefault="00227B09" w:rsidP="004665BB">
      <w:pPr>
        <w:pStyle w:val="a3"/>
        <w:spacing w:before="0" w:beforeAutospacing="0" w:after="0" w:afterAutospacing="0"/>
        <w:ind w:firstLine="708"/>
        <w:jc w:val="both"/>
        <w:rPr>
          <w:color w:val="000000" w:themeColor="text1"/>
        </w:rPr>
      </w:pPr>
      <w:r w:rsidRPr="008F7BDB">
        <w:rPr>
          <w:color w:val="000000" w:themeColor="text1"/>
        </w:rPr>
        <w:t xml:space="preserve">З огляду на викладене, надані відповідачем списки згрупованих поштових відправлень не є належними та допустимими доказами персонального повідомлення позивача про проведення позачергових загальних зборів акціонерів </w:t>
      </w:r>
      <w:r w:rsidR="008F7BDB">
        <w:rPr>
          <w:color w:val="000000" w:themeColor="text1"/>
        </w:rPr>
        <w:t>товариства</w:t>
      </w:r>
      <w:r w:rsidRPr="008F7BDB">
        <w:rPr>
          <w:color w:val="000000" w:themeColor="text1"/>
        </w:rPr>
        <w:t xml:space="preserve"> в порядку визначеному Положенням та Статутом товариства.</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Рішення наглядової ради товариства може бути оскаржено в судовому порядку акціонером (учасником) товариства шляхом пред'явлення позову про визнання його недійсним, якщо таке рішення не відповідає вимогам законодавства та порушує права  чи  законні інтереси  учасника  (акціонера) товариства.  Відповідачем за таким позовом є товариство.</w:t>
      </w:r>
    </w:p>
    <w:p w:rsidR="00227B09" w:rsidRPr="00E81790" w:rsidRDefault="00227B09" w:rsidP="008F7BDB">
      <w:pPr>
        <w:pStyle w:val="a3"/>
        <w:spacing w:before="0" w:beforeAutospacing="0" w:after="0" w:afterAutospacing="0"/>
        <w:ind w:firstLine="708"/>
        <w:jc w:val="both"/>
        <w:rPr>
          <w:color w:val="000000" w:themeColor="text1"/>
        </w:rPr>
      </w:pPr>
      <w:r w:rsidRPr="008F7BDB">
        <w:rPr>
          <w:color w:val="000000" w:themeColor="text1"/>
        </w:rPr>
        <w:t xml:space="preserve">Відповідно до </w:t>
      </w:r>
      <w:hyperlink r:id="rId70" w:tgtFrame="_blank" w:tooltip="У справі за конституційним поданням 50 народних депутатів України щодо офіційного тлумачення окремих положень частини першої статті 4 Цивільного процесуального кодексу України (справа про охоронюваний законом інтерес); нормативно-правовий акт № 18-рп/2004 від " w:history="1">
        <w:r w:rsidRPr="008F7BDB">
          <w:rPr>
            <w:rStyle w:val="a4"/>
            <w:color w:val="000000" w:themeColor="text1"/>
            <w:u w:val="none"/>
          </w:rPr>
          <w:t>рішення Конституційного Суду України від 01.12.2004  року №18-рп/2004</w:t>
        </w:r>
      </w:hyperlink>
      <w:r w:rsidRPr="008F7BDB">
        <w:rPr>
          <w:color w:val="000000" w:themeColor="text1"/>
        </w:rPr>
        <w:t xml:space="preserve"> Поняття "охоронюваний законом інтерес", що вживається в частині першій </w:t>
      </w:r>
      <w:hyperlink r:id="rId71" w:anchor="7396" w:tgtFrame="_blank" w:tooltip="Цивільний процесуальний кодекс України (ред. з 15.12.2017); нормативно-правовий акт № 1618-IV від 18.03.2004" w:history="1">
        <w:r w:rsidRPr="008F7BDB">
          <w:rPr>
            <w:rStyle w:val="a4"/>
            <w:color w:val="000000" w:themeColor="text1"/>
            <w:u w:val="none"/>
          </w:rPr>
          <w:t>статті 4 Цивільного процесуального кодексу України</w:t>
        </w:r>
      </w:hyperlink>
      <w:r w:rsidRPr="00E81790">
        <w:rPr>
          <w:color w:val="000000" w:themeColor="text1"/>
        </w:rPr>
        <w:t xml:space="preserve"> та інших законах України у логічно-смисловому зв'язку з поняттям "права", треба розуміти як прагнення до користування конкретним матеріальним та/або нематеріальним благом, як зумовлений загальним змістом об'єктивного і прямо не опосередкований у суб'єктивному праві простий легітимний дозвіл, що є самостійним об'єктом судового захисту та інших засобів правової охорони з метою задоволення індивідуальних і колективних потреб, які не суперечать </w:t>
      </w:r>
      <w:hyperlink r:id="rId72" w:tgtFrame="_blank" w:tooltip="КОНСТИТУЦІЯ УКРАЇНИ; нормативно-правовий акт № 254к/96-ВР від 28.06.1996" w:history="1">
        <w:r w:rsidRPr="008F7BDB">
          <w:rPr>
            <w:rStyle w:val="a4"/>
            <w:color w:val="000000" w:themeColor="text1"/>
            <w:u w:val="none"/>
          </w:rPr>
          <w:t>Конституції</w:t>
        </w:r>
      </w:hyperlink>
      <w:r w:rsidRPr="008F7BDB">
        <w:rPr>
          <w:color w:val="000000" w:themeColor="text1"/>
        </w:rPr>
        <w:t xml:space="preserve"> і законам України, суспільним інтересам, справедливості, добросовісності, розумності та іншим </w:t>
      </w:r>
      <w:proofErr w:type="spellStart"/>
      <w:r w:rsidRPr="008F7BDB">
        <w:rPr>
          <w:color w:val="000000" w:themeColor="text1"/>
        </w:rPr>
        <w:t>загальноправовим</w:t>
      </w:r>
      <w:proofErr w:type="spellEnd"/>
      <w:r w:rsidRPr="008F7BDB">
        <w:rPr>
          <w:color w:val="000000" w:themeColor="text1"/>
        </w:rPr>
        <w:t xml:space="preserve"> засадам. В аспекті поставленого у конституційному поданні питання положення частини першої </w:t>
      </w:r>
      <w:hyperlink r:id="rId73" w:anchor="7396" w:tgtFrame="_blank" w:tooltip="Цивільний процесуальний кодекс України (ред. з 15.12.2017); нормативно-правовий акт № 1618-IV від 18.03.2004" w:history="1">
        <w:r w:rsidRPr="008F7BDB">
          <w:rPr>
            <w:rStyle w:val="a4"/>
            <w:color w:val="000000" w:themeColor="text1"/>
            <w:u w:val="none"/>
          </w:rPr>
          <w:t>статті 4 Цивільного процесуального кодексу України</w:t>
        </w:r>
      </w:hyperlink>
      <w:r w:rsidRPr="008F7BDB">
        <w:rPr>
          <w:color w:val="000000" w:themeColor="text1"/>
        </w:rPr>
        <w:t xml:space="preserve"> </w:t>
      </w:r>
      <w:r w:rsidRPr="00E81790">
        <w:rPr>
          <w:color w:val="000000" w:themeColor="text1"/>
        </w:rPr>
        <w:t>треба розуміти так, що акціонер може захищати свої права та охоронювані законом інтереси шляхом звернення до суду у випадку їх порушення, оспорювання чи невизнання самим акціонерним товариством, учасником якого він є, органами чи іншими акціонерами цього товариства. Порядок судового захисту порушених будь-ким, у тому числі й третіми особами, прав та охоронюваних законом інтересів акціонерного товариства, які не можуть вважатися тотожними простій сукупності індивідуальних охоронюваних законом інтересів його акціонерів, визначається законом.</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 xml:space="preserve">Приписами частини 2 </w:t>
      </w:r>
      <w:hyperlink r:id="rId74" w:anchor="300" w:tgtFrame="_blank" w:tooltip="Про акціонерні товариства; нормативно-правовий акт № 514-VI від 17.09.2008" w:history="1">
        <w:r w:rsidRPr="00E81790">
          <w:rPr>
            <w:rStyle w:val="a4"/>
            <w:color w:val="000000" w:themeColor="text1"/>
            <w:u w:val="none"/>
          </w:rPr>
          <w:t>статті 33 Закону України "Про акціонерні товариства"</w:t>
        </w:r>
      </w:hyperlink>
      <w:r w:rsidRPr="00E81790">
        <w:rPr>
          <w:color w:val="000000" w:themeColor="text1"/>
        </w:rPr>
        <w:t xml:space="preserve"> передбачено, що до виключної компетенції загальних зборів належить, зокрема, внесення змін до статуту товариства; прийняття рішення про зміну типу товариства; прийняття рішення про вчинення значного правочину, якщо ринкова вартість майна, робіт або послуг, що є предметом такого правочину, перевищує 25 відсотків вартості активів за даними останньої річної фінансової звітності товариства.</w:t>
      </w:r>
    </w:p>
    <w:p w:rsidR="00227B09" w:rsidRPr="00E81790" w:rsidRDefault="00227B09" w:rsidP="004665BB">
      <w:pPr>
        <w:pStyle w:val="a3"/>
        <w:spacing w:before="0" w:beforeAutospacing="0" w:after="0" w:afterAutospacing="0"/>
        <w:ind w:firstLine="708"/>
        <w:jc w:val="both"/>
        <w:rPr>
          <w:color w:val="000000" w:themeColor="text1"/>
          <w:u w:val="single"/>
        </w:rPr>
      </w:pPr>
      <w:r w:rsidRPr="00E81790">
        <w:rPr>
          <w:color w:val="000000" w:themeColor="text1"/>
        </w:rPr>
        <w:lastRenderedPageBreak/>
        <w:t xml:space="preserve">Згідно частини 5 </w:t>
      </w:r>
      <w:hyperlink r:id="rId75" w:anchor="399" w:tgtFrame="_blank" w:tooltip="Про акціонерні товариства; нормативно-правовий акт № 514-VI від 17.09.2008" w:history="1">
        <w:r w:rsidRPr="00E81790">
          <w:rPr>
            <w:rStyle w:val="a4"/>
            <w:color w:val="000000" w:themeColor="text1"/>
            <w:u w:val="none"/>
          </w:rPr>
          <w:t>статті 42 Закону України "Про акціонерні товариства"</w:t>
        </w:r>
      </w:hyperlink>
      <w:r w:rsidRPr="00E81790">
        <w:rPr>
          <w:color w:val="000000" w:themeColor="text1"/>
        </w:rPr>
        <w:t xml:space="preserve">, рішення загальних зборів з питань, передбачених пунктами 2-7, 23 частини 2 </w:t>
      </w:r>
      <w:hyperlink r:id="rId76" w:anchor="300" w:tgtFrame="_blank" w:tooltip="Про акціонерні товариства; нормативно-правовий акт № 514-VI від 17.09.2008" w:history="1">
        <w:r w:rsidRPr="00E81790">
          <w:rPr>
            <w:rStyle w:val="a4"/>
            <w:color w:val="000000" w:themeColor="text1"/>
            <w:u w:val="none"/>
          </w:rPr>
          <w:t>статті 33 цього Закону</w:t>
        </w:r>
      </w:hyperlink>
      <w:r w:rsidRPr="00E81790">
        <w:rPr>
          <w:color w:val="000000" w:themeColor="text1"/>
        </w:rPr>
        <w:t>, приймається більш як трьома чвертями голосів акціонерів, які зареєструвалися для участі у загальних зборах та є власниками голосуючих з відповідного пи</w:t>
      </w:r>
      <w:r w:rsidRPr="00E81790">
        <w:rPr>
          <w:color w:val="000000" w:themeColor="text1"/>
          <w:u w:val="single"/>
        </w:rPr>
        <w:t>тання акцій.</w:t>
      </w:r>
    </w:p>
    <w:p w:rsidR="00227B09" w:rsidRPr="00E81790" w:rsidRDefault="001F5B7D" w:rsidP="004665BB">
      <w:pPr>
        <w:pStyle w:val="a3"/>
        <w:spacing w:before="0" w:beforeAutospacing="0" w:after="0" w:afterAutospacing="0"/>
        <w:ind w:firstLine="708"/>
        <w:jc w:val="both"/>
        <w:rPr>
          <w:color w:val="000000" w:themeColor="text1"/>
        </w:rPr>
      </w:pPr>
      <w:hyperlink r:id="rId77" w:anchor="672" w:tgtFrame="_blank" w:tooltip="Про акціонерні товариства; нормативно-правовий акт № 514-VI від 17.09.2008" w:history="1">
        <w:r w:rsidR="00227B09" w:rsidRPr="008F7BDB">
          <w:rPr>
            <w:rStyle w:val="a4"/>
            <w:color w:val="000000" w:themeColor="text1"/>
            <w:u w:val="none"/>
          </w:rPr>
          <w:t>Статтею 68 Закону України "Про акціонерні товариства"</w:t>
        </w:r>
      </w:hyperlink>
      <w:r w:rsidR="00227B09" w:rsidRPr="008F7BDB">
        <w:rPr>
          <w:color w:val="000000" w:themeColor="text1"/>
        </w:rPr>
        <w:t xml:space="preserve"> </w:t>
      </w:r>
      <w:r w:rsidR="00227B09" w:rsidRPr="00E81790">
        <w:rPr>
          <w:color w:val="000000" w:themeColor="text1"/>
        </w:rPr>
        <w:t>встановлено, що кожний акціонер - власник простих акцій товариства має право вимагати здійснення обов'язкового викупу акціонерним товариством належних йому голосуючих акцій, якщо він зареєструвався для участі у загальних зборах та голосував проти прийняття загальними зборами рішення про: злиття, приєднання, поділ, перетворення, виділ, зміну типу товариства;  надання згоди на вчинення товариством значних правочинів, у тому числі про попереднє надання згоди на вчинення значного правочину.</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Відтак, неможливість прийняти участь у засіданні наглядової ради позбавило позивача можливості висловитись з приводу питань порядку денного, вносити свої пропозиції (в тому числі щодо доцільності та строків проведення позачергових зборів)  та зауваження, бути обізнаним про призначення позачергових загальних зборів акціонерів та дату їх проведення тощо.</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Внаслідок неможливості участі в позачергових зборах, де за умов явки позивача, голос останнього міг бути вирішальним по питаннях 36 та №8 порядку денного, а проголосувавши проти по питаннях 36 та №10, позивач та третя особа мали право вимагати обов'язкового викупу товариством належних  їм акцій.</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Таким чином, оскаржуваними рішеннями було порушено корпоративні права позивача, в тому числі, на прийняття  участі в зборах та управлінні товариством.</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 xml:space="preserve">Враховуючи викладене вище, суд апеляційної інстанції дійшов вірного висновку про те, що рішення засідання наглядової ради </w:t>
      </w:r>
      <w:r w:rsidR="004665BB" w:rsidRPr="00E81790">
        <w:rPr>
          <w:color w:val="000000" w:themeColor="text1"/>
        </w:rPr>
        <w:t>товариства</w:t>
      </w:r>
      <w:r w:rsidRPr="00E81790">
        <w:rPr>
          <w:color w:val="000000" w:themeColor="text1"/>
        </w:rPr>
        <w:t xml:space="preserve"> на яких були прийняті спірні рішення, були проведені відповідачем з порушенням визначеного чинним законодавством України, Положення та Статуту </w:t>
      </w:r>
      <w:r w:rsidR="004665BB" w:rsidRPr="00E81790">
        <w:rPr>
          <w:color w:val="000000" w:themeColor="text1"/>
        </w:rPr>
        <w:t>товариства</w:t>
      </w:r>
      <w:r w:rsidRPr="00E81790">
        <w:rPr>
          <w:color w:val="000000" w:themeColor="text1"/>
        </w:rPr>
        <w:t xml:space="preserve"> порядку їх скликання;  позивач належним чином не був повідомлений про дату, час та місце їх проведення та порядок денний загальних зборів персонально, як це передбачено чинним законодавством; Статутом та Положенням, а надані відповідачем списки  згрупованих поштових відправлень  не є належними  та допустимими доказами  персонального повідомлення позивача про проведення загальних зборів акціонерів.</w:t>
      </w:r>
    </w:p>
    <w:p w:rsidR="00227B09" w:rsidRPr="00E81790" w:rsidRDefault="00227B09" w:rsidP="004665BB">
      <w:pPr>
        <w:pStyle w:val="a3"/>
        <w:spacing w:before="0" w:beforeAutospacing="0" w:after="0" w:afterAutospacing="0"/>
        <w:ind w:firstLine="708"/>
        <w:jc w:val="both"/>
        <w:rPr>
          <w:color w:val="000000" w:themeColor="text1"/>
        </w:rPr>
      </w:pPr>
      <w:r w:rsidRPr="008F7BDB">
        <w:rPr>
          <w:color w:val="000000" w:themeColor="text1"/>
        </w:rPr>
        <w:t xml:space="preserve">Вказане свідчить про порушення права позивача на участь в управлінні акціонерним товариством, передбаченого </w:t>
      </w:r>
      <w:hyperlink r:id="rId78" w:anchor="219" w:tgtFrame="_blank" w:tooltip="Про акціонерні товариства; нормативно-правовий акт № 514-VI від 17.09.2008" w:history="1">
        <w:r w:rsidRPr="008F7BDB">
          <w:rPr>
            <w:rStyle w:val="a4"/>
            <w:color w:val="000000" w:themeColor="text1"/>
            <w:u w:val="none"/>
          </w:rPr>
          <w:t>статтею 25 Закону України "Про акціонерні товариства"</w:t>
        </w:r>
      </w:hyperlink>
      <w:r w:rsidRPr="00E81790">
        <w:rPr>
          <w:color w:val="000000" w:themeColor="text1"/>
        </w:rPr>
        <w:t xml:space="preserve">  та Положення про наглядову раду </w:t>
      </w:r>
      <w:r w:rsidR="008F7BDB">
        <w:rPr>
          <w:color w:val="000000" w:themeColor="text1"/>
        </w:rPr>
        <w:t>товариства</w:t>
      </w:r>
      <w:r w:rsidRPr="00E81790">
        <w:rPr>
          <w:color w:val="000000" w:themeColor="text1"/>
        </w:rPr>
        <w:t xml:space="preserve">, позбавленням акціонера товариства можливості взяти участь у загальних зборах, та є підставою для задоволення позовних вимог в частині визнання недійсними з моменту прийняття рішення засідання наглядової ради </w:t>
      </w:r>
      <w:r w:rsidR="004665BB" w:rsidRPr="00E81790">
        <w:rPr>
          <w:color w:val="000000" w:themeColor="text1"/>
        </w:rPr>
        <w:t>товариства</w:t>
      </w:r>
      <w:r w:rsidRPr="00E81790">
        <w:rPr>
          <w:color w:val="000000" w:themeColor="text1"/>
        </w:rPr>
        <w:t xml:space="preserve"> затверджені на підставі такого рішення шляхом викладення у новій редакції: статут </w:t>
      </w:r>
      <w:r w:rsidR="004665BB" w:rsidRPr="00E81790">
        <w:rPr>
          <w:color w:val="000000" w:themeColor="text1"/>
        </w:rPr>
        <w:t>товариства</w:t>
      </w:r>
      <w:r w:rsidRPr="00E81790">
        <w:rPr>
          <w:color w:val="000000" w:themeColor="text1"/>
        </w:rPr>
        <w:t>", Положення про посадових осіб, Положення про виконавчий орган Товариства, Положення про Наглядову Раду Товариства, Положення про Ревізійну комісію Товариства, Положення про загальні збори акціонерів Товариства, Принципи про корпоративне управління.</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За таких обставин, судом апеляційної інстанції обґрунтовано задоволено позовну вимоги пр</w:t>
      </w:r>
      <w:r w:rsidR="004665BB" w:rsidRPr="00E81790">
        <w:rPr>
          <w:color w:val="000000" w:themeColor="text1"/>
        </w:rPr>
        <w:t>о скасування реєстраційної дії</w:t>
      </w:r>
      <w:r w:rsidRPr="00E81790">
        <w:rPr>
          <w:color w:val="000000" w:themeColor="text1"/>
        </w:rPr>
        <w:t>, оскільки вона є похідною від вказаних позовних вимог.</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Також, судом апеляційної інстанції обґрунтовано зазначено про відсутність правових підстав для стягнення з відповідача витрат на правову допомогу, оскільки доказів оплати послуг адвоката апелянтом не надано.</w:t>
      </w:r>
    </w:p>
    <w:p w:rsidR="00227B09"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 xml:space="preserve">Колегія суддів зазначає, що враховуючи положення ч. 1 </w:t>
      </w:r>
      <w:hyperlink r:id="rId79" w:anchor="30" w:tgtFrame="_blank" w:tooltip="КОНСТИТУЦІЯ УКРАЇНИ; нормативно-правовий акт № 254к/96-ВР від 28.06.1996" w:history="1">
        <w:r w:rsidRPr="00E81790">
          <w:rPr>
            <w:rStyle w:val="a4"/>
            <w:color w:val="000000" w:themeColor="text1"/>
            <w:u w:val="none"/>
          </w:rPr>
          <w:t>ст. 9 Конституції України</w:t>
        </w:r>
      </w:hyperlink>
      <w:r w:rsidRPr="00E81790">
        <w:rPr>
          <w:color w:val="000000" w:themeColor="text1"/>
        </w:rPr>
        <w:t xml:space="preserve"> та беручи до уваги ратифікацію </w:t>
      </w:r>
      <w:hyperlink r:id="rId80" w:tgtFrame="_blank" w:tooltip="Про ратифікацію Конвенції про захист прав людини і основоположних свобод 1950 року, Першого протоколу та протоколів N 2, 4, 7 та 11 до Конвенції; нормативно-правовий акт № 475/97-ВР від 17.07.1997" w:history="1">
        <w:r w:rsidRPr="00E81790">
          <w:rPr>
            <w:rStyle w:val="a4"/>
            <w:color w:val="000000" w:themeColor="text1"/>
            <w:u w:val="none"/>
          </w:rPr>
          <w:t>Законом України від 17.07.1997 року №475/97-ВР</w:t>
        </w:r>
      </w:hyperlink>
      <w:r w:rsidRPr="00E81790">
        <w:rPr>
          <w:color w:val="000000" w:themeColor="text1"/>
        </w:rPr>
        <w:t xml:space="preserve"> </w:t>
      </w:r>
      <w:hyperlink r:id="rId81" w:tgtFrame="_blank" w:tooltip="Конвенція про захист прав людини і основоположних свобод; нормативно-правовий акт № ETS N 005 від 04.11.1950" w:history="1">
        <w:r w:rsidRPr="00E81790">
          <w:rPr>
            <w:rStyle w:val="a4"/>
            <w:color w:val="000000" w:themeColor="text1"/>
            <w:u w:val="none"/>
          </w:rPr>
          <w:t>Конвенції про захист прав людини і основоположних свобод</w:t>
        </w:r>
      </w:hyperlink>
      <w:r w:rsidRPr="00E81790">
        <w:rPr>
          <w:color w:val="000000" w:themeColor="text1"/>
        </w:rPr>
        <w:t xml:space="preserve"> 1950 року і Першого протоколу та протоколів №2, 4, 7, 11 до Конвенції та прийняття </w:t>
      </w:r>
      <w:hyperlink r:id="rId82" w:tgtFrame="_blank" w:tooltip="Про виконання рішень та застосування практики Європейського суду з прав людини; нормативно-правовий акт № 3477-IV від 23.02.2006" w:history="1">
        <w:r w:rsidRPr="00E81790">
          <w:rPr>
            <w:rStyle w:val="a4"/>
            <w:color w:val="000000" w:themeColor="text1"/>
            <w:u w:val="none"/>
          </w:rPr>
          <w:t>Закону України від 23.02.2006 року №3477-IV</w:t>
        </w:r>
      </w:hyperlink>
      <w:r w:rsidRPr="00E81790">
        <w:rPr>
          <w:color w:val="000000" w:themeColor="text1"/>
        </w:rPr>
        <w:t xml:space="preserve"> (3477-15) "Про виконання рішень та застосування практики Європейського суду з прав людини", суди також повинні застосовувати Конвенцію про захист прав людини і </w:t>
      </w:r>
      <w:r w:rsidRPr="00E81790">
        <w:rPr>
          <w:color w:val="000000" w:themeColor="text1"/>
        </w:rPr>
        <w:lastRenderedPageBreak/>
        <w:t>основоположних свобод (Рим, 4 листопада 1950 року) та рішення Європейського суду з прав людини як джерело права.</w:t>
      </w:r>
    </w:p>
    <w:p w:rsidR="00BE5E27" w:rsidRPr="00E81790" w:rsidRDefault="00227B09" w:rsidP="004665BB">
      <w:pPr>
        <w:pStyle w:val="a3"/>
        <w:spacing w:before="0" w:beforeAutospacing="0" w:after="0" w:afterAutospacing="0"/>
        <w:ind w:firstLine="708"/>
        <w:jc w:val="both"/>
        <w:rPr>
          <w:color w:val="000000" w:themeColor="text1"/>
        </w:rPr>
      </w:pPr>
      <w:r w:rsidRPr="00E81790">
        <w:rPr>
          <w:color w:val="000000" w:themeColor="text1"/>
        </w:rPr>
        <w:t xml:space="preserve">У рішенні Суду у справі </w:t>
      </w:r>
      <w:proofErr w:type="spellStart"/>
      <w:r w:rsidRPr="00E81790">
        <w:rPr>
          <w:color w:val="000000" w:themeColor="text1"/>
        </w:rPr>
        <w:t>Трофимчук</w:t>
      </w:r>
      <w:proofErr w:type="spellEnd"/>
      <w:r w:rsidRPr="00E81790">
        <w:rPr>
          <w:color w:val="000000" w:themeColor="text1"/>
        </w:rPr>
        <w:t xml:space="preserve"> проти України </w:t>
      </w:r>
      <w:proofErr w:type="spellStart"/>
      <w:r w:rsidRPr="00E81790">
        <w:rPr>
          <w:color w:val="000000" w:themeColor="text1"/>
        </w:rPr>
        <w:t>no</w:t>
      </w:r>
      <w:proofErr w:type="spellEnd"/>
      <w:r w:rsidRPr="00E81790">
        <w:rPr>
          <w:color w:val="000000" w:themeColor="text1"/>
        </w:rPr>
        <w:t>. 4241/03 від 28.10.2010 року Європейським судом з прав людини зазначено, що хоча пункт 1 статті 6 Конвенції зобов'язує суди обґрунтовувати свої рішення, це не може розумітись як вимога детально відповідати на кожен довод</w:t>
      </w:r>
      <w:r w:rsidR="008F7BDB">
        <w:rPr>
          <w:color w:val="000000" w:themeColor="text1"/>
        </w:rPr>
        <w:t>и</w:t>
      </w:r>
      <w:r w:rsidRPr="00E81790">
        <w:rPr>
          <w:color w:val="000000" w:themeColor="text1"/>
        </w:rPr>
        <w:t xml:space="preserve"> сторін.</w:t>
      </w:r>
    </w:p>
    <w:p w:rsidR="00923D78" w:rsidRPr="00E81790" w:rsidRDefault="00BE5E27" w:rsidP="004665BB">
      <w:pPr>
        <w:pStyle w:val="a3"/>
        <w:spacing w:before="0" w:beforeAutospacing="0" w:after="0" w:afterAutospacing="0"/>
        <w:ind w:firstLine="708"/>
        <w:jc w:val="both"/>
        <w:rPr>
          <w:color w:val="000000" w:themeColor="text1"/>
        </w:rPr>
      </w:pPr>
      <w:r w:rsidRPr="00E81790">
        <w:rPr>
          <w:bCs/>
          <w:color w:val="000000" w:themeColor="text1"/>
        </w:rPr>
        <w:t xml:space="preserve">Верховний Суд у складі колегії суддів Касаційного господарського </w:t>
      </w:r>
      <w:r w:rsidR="004E36B1" w:rsidRPr="00E81790">
        <w:rPr>
          <w:bCs/>
          <w:color w:val="000000" w:themeColor="text1"/>
        </w:rPr>
        <w:t xml:space="preserve">суду по справі </w:t>
      </w:r>
      <w:r w:rsidR="004E36B1" w:rsidRPr="00E81790">
        <w:rPr>
          <w:color w:val="000000" w:themeColor="text1"/>
        </w:rPr>
        <w:t xml:space="preserve">№  908/1323/16  </w:t>
      </w:r>
      <w:r w:rsidR="00923D78" w:rsidRPr="00E81790">
        <w:rPr>
          <w:color w:val="000000" w:themeColor="text1"/>
        </w:rPr>
        <w:t xml:space="preserve">Рішення загальних зборів юридичної особи можуть бути визнані недійсними в судовому порядку в разі недотримання процедури їх скликання, встановленої </w:t>
      </w:r>
      <w:hyperlink r:id="rId83" w:anchor="391" w:tgtFrame="_blank" w:tooltip="Про господарські товариства; нормативно-правовий акт № 1576-XII від 19.09.1991" w:history="1">
        <w:r w:rsidR="00923D78" w:rsidRPr="00E81790">
          <w:rPr>
            <w:rStyle w:val="a4"/>
            <w:color w:val="000000" w:themeColor="text1"/>
            <w:u w:val="none"/>
          </w:rPr>
          <w:t>статтею 61 Закону України "Про господарські товариства"</w:t>
        </w:r>
      </w:hyperlink>
      <w:r w:rsidR="00923D78" w:rsidRPr="00E81790">
        <w:rPr>
          <w:color w:val="000000" w:themeColor="text1"/>
        </w:rPr>
        <w:t xml:space="preserve">, </w:t>
      </w:r>
      <w:hyperlink r:id="rId84" w:anchor="336" w:tgtFrame="_blank" w:tooltip="Про акціонерні товариства; нормативно-правовий акт № 514-VI від 17.09.2008" w:history="1">
        <w:r w:rsidR="00923D78" w:rsidRPr="00E81790">
          <w:rPr>
            <w:rStyle w:val="a4"/>
            <w:color w:val="000000" w:themeColor="text1"/>
            <w:u w:val="none"/>
          </w:rPr>
          <w:t>статтею 35 Закону України "Про акціонерні товариства"</w:t>
        </w:r>
      </w:hyperlink>
      <w:r w:rsidR="00923D78" w:rsidRPr="00E81790">
        <w:rPr>
          <w:color w:val="000000" w:themeColor="text1"/>
        </w:rPr>
        <w:t xml:space="preserve">, </w:t>
      </w:r>
      <w:hyperlink r:id="rId85" w:anchor="283" w:tgtFrame="_blank" w:tooltip="Про кооперацію; нормативно-правовий акт № 1087-IV від 10.07.2003" w:history="1">
        <w:r w:rsidR="00923D78" w:rsidRPr="00E81790">
          <w:rPr>
            <w:rStyle w:val="a4"/>
            <w:color w:val="000000" w:themeColor="text1"/>
            <w:u w:val="none"/>
          </w:rPr>
          <w:t>статтею 15 Закону України "Про кооперацію"</w:t>
        </w:r>
      </w:hyperlink>
      <w:r w:rsidR="00923D78" w:rsidRPr="00E81790">
        <w:rPr>
          <w:color w:val="000000" w:themeColor="text1"/>
        </w:rPr>
        <w:t>.</w:t>
      </w:r>
    </w:p>
    <w:p w:rsidR="00923D78" w:rsidRPr="00E81790" w:rsidRDefault="00923D78" w:rsidP="004665BB">
      <w:pPr>
        <w:pStyle w:val="a3"/>
        <w:spacing w:before="0" w:beforeAutospacing="0" w:after="0" w:afterAutospacing="0"/>
        <w:ind w:firstLine="708"/>
        <w:jc w:val="both"/>
        <w:rPr>
          <w:color w:val="000000" w:themeColor="text1"/>
        </w:rPr>
      </w:pPr>
      <w:r w:rsidRPr="00E81790">
        <w:rPr>
          <w:color w:val="000000" w:themeColor="text1"/>
        </w:rPr>
        <w:t>Права учасника (акціонера, члена) юридичної особи можуть бути визнані порушеними внаслідок недотримання вимог закону про скликання і проведення загальних зборів, якщо він не зміг взяти участь у загальних зборах, належним чином підготуватися до розгляду питань порядку денного, зареєструватися для участі у загальних зборах тощо.</w:t>
      </w:r>
    </w:p>
    <w:p w:rsidR="00923D78" w:rsidRPr="00E81790" w:rsidRDefault="00923D78" w:rsidP="004665BB">
      <w:pPr>
        <w:pStyle w:val="a3"/>
        <w:spacing w:before="0" w:beforeAutospacing="0" w:after="0" w:afterAutospacing="0"/>
        <w:ind w:firstLine="708"/>
        <w:jc w:val="both"/>
        <w:rPr>
          <w:color w:val="000000" w:themeColor="text1"/>
        </w:rPr>
      </w:pPr>
      <w:r w:rsidRPr="00E81790">
        <w:rPr>
          <w:color w:val="000000" w:themeColor="text1"/>
        </w:rPr>
        <w:t>Під час вирішення питання про недійсність рішень загальних зборів у зв'язку з іншими порушеннями, допущеними під час їх скликання та проведення, господарський суд повинен оцінити, як ці порушення вплинули на прийняття загальними зборами відповідного рішення.</w:t>
      </w:r>
    </w:p>
    <w:p w:rsidR="00923D78" w:rsidRPr="00E81790" w:rsidRDefault="00923D78" w:rsidP="004665BB">
      <w:pPr>
        <w:pStyle w:val="a3"/>
        <w:spacing w:before="0" w:beforeAutospacing="0" w:after="0" w:afterAutospacing="0"/>
        <w:ind w:firstLine="708"/>
        <w:jc w:val="both"/>
        <w:rPr>
          <w:b/>
          <w:color w:val="000000" w:themeColor="text1"/>
          <w:u w:val="single"/>
        </w:rPr>
      </w:pPr>
      <w:r w:rsidRPr="00E81790">
        <w:rPr>
          <w:b/>
          <w:color w:val="000000" w:themeColor="text1"/>
          <w:u w:val="single"/>
        </w:rPr>
        <w:t>Під час вирішення спорів про визнання недійсними рішень загальних зборів господарського товариства з підстав недопущення до участі в них акціонерів (учасників) товариства судам необхідно з'ясувати, чи могла їх відсутність (або наявність) істотно вплинути на прийняття рішення, яке оскаржується.</w:t>
      </w:r>
    </w:p>
    <w:p w:rsidR="00BE5E27" w:rsidRPr="00E81790" w:rsidRDefault="00BE5E27" w:rsidP="004665BB">
      <w:pPr>
        <w:pStyle w:val="a3"/>
        <w:spacing w:before="0" w:beforeAutospacing="0" w:after="0" w:afterAutospacing="0"/>
        <w:rPr>
          <w:color w:val="000000" w:themeColor="text1"/>
        </w:rPr>
      </w:pPr>
    </w:p>
    <w:p w:rsidR="00227B09" w:rsidRPr="00E81790" w:rsidRDefault="00227B09" w:rsidP="004665BB">
      <w:pPr>
        <w:spacing w:after="0" w:line="240" w:lineRule="auto"/>
        <w:jc w:val="both"/>
        <w:rPr>
          <w:rFonts w:ascii="Times New Roman" w:hAnsi="Times New Roman" w:cs="Times New Roman"/>
          <w:color w:val="000000" w:themeColor="text1"/>
          <w:sz w:val="24"/>
          <w:szCs w:val="24"/>
        </w:rPr>
      </w:pPr>
    </w:p>
    <w:p w:rsidR="00E06E83" w:rsidRPr="00E81790" w:rsidRDefault="00E06E83" w:rsidP="004665BB">
      <w:pPr>
        <w:spacing w:after="0" w:line="240" w:lineRule="auto"/>
        <w:jc w:val="both"/>
        <w:rPr>
          <w:rFonts w:ascii="Times New Roman" w:hAnsi="Times New Roman" w:cs="Times New Roman"/>
          <w:color w:val="000000" w:themeColor="text1"/>
          <w:sz w:val="24"/>
          <w:szCs w:val="24"/>
        </w:rPr>
      </w:pPr>
    </w:p>
    <w:sectPr w:rsidR="00E06E83" w:rsidRPr="00E81790" w:rsidSect="00946A7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B7292"/>
    <w:multiLevelType w:val="hybridMultilevel"/>
    <w:tmpl w:val="00AAD1EA"/>
    <w:lvl w:ilvl="0" w:tplc="F9F02D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3B8"/>
    <w:rsid w:val="000421F7"/>
    <w:rsid w:val="00064A2A"/>
    <w:rsid w:val="000724F7"/>
    <w:rsid w:val="000C35B8"/>
    <w:rsid w:val="00102F86"/>
    <w:rsid w:val="001D3DB5"/>
    <w:rsid w:val="001F5B7D"/>
    <w:rsid w:val="00227B09"/>
    <w:rsid w:val="0024450C"/>
    <w:rsid w:val="00371EFB"/>
    <w:rsid w:val="003C262A"/>
    <w:rsid w:val="003E1518"/>
    <w:rsid w:val="00454F1F"/>
    <w:rsid w:val="004665BB"/>
    <w:rsid w:val="00474EBD"/>
    <w:rsid w:val="004D0DFD"/>
    <w:rsid w:val="004E36B1"/>
    <w:rsid w:val="005F02B7"/>
    <w:rsid w:val="00604C9C"/>
    <w:rsid w:val="0064591A"/>
    <w:rsid w:val="006650A3"/>
    <w:rsid w:val="006D27B3"/>
    <w:rsid w:val="006F50E2"/>
    <w:rsid w:val="006F77A3"/>
    <w:rsid w:val="00743C21"/>
    <w:rsid w:val="0080056D"/>
    <w:rsid w:val="0083777D"/>
    <w:rsid w:val="008B24F3"/>
    <w:rsid w:val="008F7BDB"/>
    <w:rsid w:val="00923D78"/>
    <w:rsid w:val="009318A2"/>
    <w:rsid w:val="00946A72"/>
    <w:rsid w:val="009F4A34"/>
    <w:rsid w:val="00B42034"/>
    <w:rsid w:val="00B573B8"/>
    <w:rsid w:val="00B64AE9"/>
    <w:rsid w:val="00B70B8E"/>
    <w:rsid w:val="00B74519"/>
    <w:rsid w:val="00B96F25"/>
    <w:rsid w:val="00BD6386"/>
    <w:rsid w:val="00BE5E27"/>
    <w:rsid w:val="00C35F9B"/>
    <w:rsid w:val="00D0206A"/>
    <w:rsid w:val="00D55580"/>
    <w:rsid w:val="00DD7B85"/>
    <w:rsid w:val="00E06E83"/>
    <w:rsid w:val="00E81790"/>
    <w:rsid w:val="00EE1998"/>
    <w:rsid w:val="00F010CA"/>
    <w:rsid w:val="00F136A0"/>
    <w:rsid w:val="00F16E11"/>
    <w:rsid w:val="00F42DB7"/>
    <w:rsid w:val="00FA6FC6"/>
    <w:rsid w:val="00FD6C5C"/>
    <w:rsid w:val="00FF44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1EF7C"/>
  <w15:docId w15:val="{2C98CFF1-43C5-4FEA-A52C-C75F0558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A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4591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64591A"/>
    <w:rPr>
      <w:color w:val="0000FF"/>
      <w:u w:val="single"/>
    </w:rPr>
  </w:style>
  <w:style w:type="paragraph" w:styleId="a5">
    <w:name w:val="List Paragraph"/>
    <w:basedOn w:val="a"/>
    <w:uiPriority w:val="34"/>
    <w:qFormat/>
    <w:rsid w:val="00C35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461553">
      <w:bodyDiv w:val="1"/>
      <w:marLeft w:val="0"/>
      <w:marRight w:val="0"/>
      <w:marTop w:val="0"/>
      <w:marBottom w:val="0"/>
      <w:divBdr>
        <w:top w:val="none" w:sz="0" w:space="0" w:color="auto"/>
        <w:left w:val="none" w:sz="0" w:space="0" w:color="auto"/>
        <w:bottom w:val="none" w:sz="0" w:space="0" w:color="auto"/>
        <w:right w:val="none" w:sz="0" w:space="0" w:color="auto"/>
      </w:divBdr>
    </w:div>
    <w:div w:id="376397343">
      <w:bodyDiv w:val="1"/>
      <w:marLeft w:val="0"/>
      <w:marRight w:val="0"/>
      <w:marTop w:val="0"/>
      <w:marBottom w:val="0"/>
      <w:divBdr>
        <w:top w:val="none" w:sz="0" w:space="0" w:color="auto"/>
        <w:left w:val="none" w:sz="0" w:space="0" w:color="auto"/>
        <w:bottom w:val="none" w:sz="0" w:space="0" w:color="auto"/>
        <w:right w:val="none" w:sz="0" w:space="0" w:color="auto"/>
      </w:divBdr>
    </w:div>
    <w:div w:id="440806403">
      <w:bodyDiv w:val="1"/>
      <w:marLeft w:val="0"/>
      <w:marRight w:val="0"/>
      <w:marTop w:val="0"/>
      <w:marBottom w:val="0"/>
      <w:divBdr>
        <w:top w:val="none" w:sz="0" w:space="0" w:color="auto"/>
        <w:left w:val="none" w:sz="0" w:space="0" w:color="auto"/>
        <w:bottom w:val="none" w:sz="0" w:space="0" w:color="auto"/>
        <w:right w:val="none" w:sz="0" w:space="0" w:color="auto"/>
      </w:divBdr>
    </w:div>
    <w:div w:id="500268873">
      <w:bodyDiv w:val="1"/>
      <w:marLeft w:val="0"/>
      <w:marRight w:val="0"/>
      <w:marTop w:val="0"/>
      <w:marBottom w:val="0"/>
      <w:divBdr>
        <w:top w:val="none" w:sz="0" w:space="0" w:color="auto"/>
        <w:left w:val="none" w:sz="0" w:space="0" w:color="auto"/>
        <w:bottom w:val="none" w:sz="0" w:space="0" w:color="auto"/>
        <w:right w:val="none" w:sz="0" w:space="0" w:color="auto"/>
      </w:divBdr>
    </w:div>
    <w:div w:id="710544065">
      <w:bodyDiv w:val="1"/>
      <w:marLeft w:val="0"/>
      <w:marRight w:val="0"/>
      <w:marTop w:val="0"/>
      <w:marBottom w:val="0"/>
      <w:divBdr>
        <w:top w:val="none" w:sz="0" w:space="0" w:color="auto"/>
        <w:left w:val="none" w:sz="0" w:space="0" w:color="auto"/>
        <w:bottom w:val="none" w:sz="0" w:space="0" w:color="auto"/>
        <w:right w:val="none" w:sz="0" w:space="0" w:color="auto"/>
      </w:divBdr>
    </w:div>
    <w:div w:id="1058438264">
      <w:bodyDiv w:val="1"/>
      <w:marLeft w:val="0"/>
      <w:marRight w:val="0"/>
      <w:marTop w:val="0"/>
      <w:marBottom w:val="0"/>
      <w:divBdr>
        <w:top w:val="none" w:sz="0" w:space="0" w:color="auto"/>
        <w:left w:val="none" w:sz="0" w:space="0" w:color="auto"/>
        <w:bottom w:val="none" w:sz="0" w:space="0" w:color="auto"/>
        <w:right w:val="none" w:sz="0" w:space="0" w:color="auto"/>
      </w:divBdr>
    </w:div>
    <w:div w:id="1247109365">
      <w:bodyDiv w:val="1"/>
      <w:marLeft w:val="0"/>
      <w:marRight w:val="0"/>
      <w:marTop w:val="0"/>
      <w:marBottom w:val="0"/>
      <w:divBdr>
        <w:top w:val="none" w:sz="0" w:space="0" w:color="auto"/>
        <w:left w:val="none" w:sz="0" w:space="0" w:color="auto"/>
        <w:bottom w:val="none" w:sz="0" w:space="0" w:color="auto"/>
        <w:right w:val="none" w:sz="0" w:space="0" w:color="auto"/>
      </w:divBdr>
    </w:div>
    <w:div w:id="1333097683">
      <w:bodyDiv w:val="1"/>
      <w:marLeft w:val="0"/>
      <w:marRight w:val="0"/>
      <w:marTop w:val="0"/>
      <w:marBottom w:val="0"/>
      <w:divBdr>
        <w:top w:val="none" w:sz="0" w:space="0" w:color="auto"/>
        <w:left w:val="none" w:sz="0" w:space="0" w:color="auto"/>
        <w:bottom w:val="none" w:sz="0" w:space="0" w:color="auto"/>
        <w:right w:val="none" w:sz="0" w:space="0" w:color="auto"/>
      </w:divBdr>
    </w:div>
    <w:div w:id="1337882460">
      <w:bodyDiv w:val="1"/>
      <w:marLeft w:val="0"/>
      <w:marRight w:val="0"/>
      <w:marTop w:val="0"/>
      <w:marBottom w:val="0"/>
      <w:divBdr>
        <w:top w:val="none" w:sz="0" w:space="0" w:color="auto"/>
        <w:left w:val="none" w:sz="0" w:space="0" w:color="auto"/>
        <w:bottom w:val="none" w:sz="0" w:space="0" w:color="auto"/>
        <w:right w:val="none" w:sz="0" w:space="0" w:color="auto"/>
      </w:divBdr>
    </w:div>
    <w:div w:id="1397969600">
      <w:bodyDiv w:val="1"/>
      <w:marLeft w:val="0"/>
      <w:marRight w:val="0"/>
      <w:marTop w:val="0"/>
      <w:marBottom w:val="0"/>
      <w:divBdr>
        <w:top w:val="none" w:sz="0" w:space="0" w:color="auto"/>
        <w:left w:val="none" w:sz="0" w:space="0" w:color="auto"/>
        <w:bottom w:val="none" w:sz="0" w:space="0" w:color="auto"/>
        <w:right w:val="none" w:sz="0" w:space="0" w:color="auto"/>
      </w:divBdr>
    </w:div>
    <w:div w:id="1402868284">
      <w:bodyDiv w:val="1"/>
      <w:marLeft w:val="0"/>
      <w:marRight w:val="0"/>
      <w:marTop w:val="0"/>
      <w:marBottom w:val="0"/>
      <w:divBdr>
        <w:top w:val="none" w:sz="0" w:space="0" w:color="auto"/>
        <w:left w:val="none" w:sz="0" w:space="0" w:color="auto"/>
        <w:bottom w:val="none" w:sz="0" w:space="0" w:color="auto"/>
        <w:right w:val="none" w:sz="0" w:space="0" w:color="auto"/>
      </w:divBdr>
    </w:div>
    <w:div w:id="1579247321">
      <w:bodyDiv w:val="1"/>
      <w:marLeft w:val="0"/>
      <w:marRight w:val="0"/>
      <w:marTop w:val="0"/>
      <w:marBottom w:val="0"/>
      <w:divBdr>
        <w:top w:val="none" w:sz="0" w:space="0" w:color="auto"/>
        <w:left w:val="none" w:sz="0" w:space="0" w:color="auto"/>
        <w:bottom w:val="none" w:sz="0" w:space="0" w:color="auto"/>
        <w:right w:val="none" w:sz="0" w:space="0" w:color="auto"/>
      </w:divBdr>
    </w:div>
    <w:div w:id="1581864457">
      <w:bodyDiv w:val="1"/>
      <w:marLeft w:val="0"/>
      <w:marRight w:val="0"/>
      <w:marTop w:val="0"/>
      <w:marBottom w:val="0"/>
      <w:divBdr>
        <w:top w:val="none" w:sz="0" w:space="0" w:color="auto"/>
        <w:left w:val="none" w:sz="0" w:space="0" w:color="auto"/>
        <w:bottom w:val="none" w:sz="0" w:space="0" w:color="auto"/>
        <w:right w:val="none" w:sz="0" w:space="0" w:color="auto"/>
      </w:divBdr>
    </w:div>
    <w:div w:id="1705786806">
      <w:bodyDiv w:val="1"/>
      <w:marLeft w:val="0"/>
      <w:marRight w:val="0"/>
      <w:marTop w:val="0"/>
      <w:marBottom w:val="0"/>
      <w:divBdr>
        <w:top w:val="none" w:sz="0" w:space="0" w:color="auto"/>
        <w:left w:val="none" w:sz="0" w:space="0" w:color="auto"/>
        <w:bottom w:val="none" w:sz="0" w:space="0" w:color="auto"/>
        <w:right w:val="none" w:sz="0" w:space="0" w:color="auto"/>
      </w:divBdr>
    </w:div>
    <w:div w:id="1750302186">
      <w:bodyDiv w:val="1"/>
      <w:marLeft w:val="0"/>
      <w:marRight w:val="0"/>
      <w:marTop w:val="0"/>
      <w:marBottom w:val="0"/>
      <w:divBdr>
        <w:top w:val="none" w:sz="0" w:space="0" w:color="auto"/>
        <w:left w:val="none" w:sz="0" w:space="0" w:color="auto"/>
        <w:bottom w:val="none" w:sz="0" w:space="0" w:color="auto"/>
        <w:right w:val="none" w:sz="0" w:space="0" w:color="auto"/>
      </w:divBdr>
    </w:div>
    <w:div w:id="1805848844">
      <w:bodyDiv w:val="1"/>
      <w:marLeft w:val="0"/>
      <w:marRight w:val="0"/>
      <w:marTop w:val="0"/>
      <w:marBottom w:val="0"/>
      <w:divBdr>
        <w:top w:val="none" w:sz="0" w:space="0" w:color="auto"/>
        <w:left w:val="none" w:sz="0" w:space="0" w:color="auto"/>
        <w:bottom w:val="none" w:sz="0" w:space="0" w:color="auto"/>
        <w:right w:val="none" w:sz="0" w:space="0" w:color="auto"/>
      </w:divBdr>
    </w:div>
    <w:div w:id="188941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arch.ligazakon.ua/l_doc2.nsf/link1/an_691/ed_2018_03_07/pravo1/T080514.html?pravo=1" TargetMode="External"/><Relationship Id="rId21" Type="http://schemas.openxmlformats.org/officeDocument/2006/relationships/hyperlink" Target="http://search.ligazakon.ua/l_doc2.nsf/link1/an_579/ed_2018_02_28/pravo1/T_179800.html?pravo=1" TargetMode="External"/><Relationship Id="rId42" Type="http://schemas.openxmlformats.org/officeDocument/2006/relationships/hyperlink" Target="http://search.ligazakon.ua/l_doc2.nsf/link1/an_843047/ed_2018_06_17/pravo1/T030435.html?pravo=1" TargetMode="External"/><Relationship Id="rId47" Type="http://schemas.openxmlformats.org/officeDocument/2006/relationships/hyperlink" Target="http://search.ligazakon.ua/l_doc2.nsf/link1/an_12/ed_2018_06_17/pravo1/T080514.html?pravo=1" TargetMode="External"/><Relationship Id="rId63" Type="http://schemas.openxmlformats.org/officeDocument/2006/relationships/hyperlink" Target="http://search.ligazakon.ua/l_doc2.nsf/link1/an_336/ed_2018_05_01/pravo1/T080514.html?pravo=1" TargetMode="External"/><Relationship Id="rId68" Type="http://schemas.openxmlformats.org/officeDocument/2006/relationships/hyperlink" Target="http://search.ligazakon.ua/l_doc2.nsf/link1/ed_2016_07_13/pravo1/KP090270.html?pravo=1" TargetMode="External"/><Relationship Id="rId84" Type="http://schemas.openxmlformats.org/officeDocument/2006/relationships/hyperlink" Target="http://search.ligazakon.ua/l_doc2.nsf/link1/an_336/ed_2018_03_07/pravo1/T080514.html?pravo=1" TargetMode="External"/><Relationship Id="rId16" Type="http://schemas.openxmlformats.org/officeDocument/2006/relationships/hyperlink" Target="http://search.ligazakon.ua/l_doc2.nsf/link1/an_1820/ed_2018_06_17/pravo1/T080514.html?pravo=1" TargetMode="External"/><Relationship Id="rId11" Type="http://schemas.openxmlformats.org/officeDocument/2006/relationships/hyperlink" Target="http://search.ligazakon.ua/l_doc2.nsf/link1/an_1820/ed_2018_03_07/pravo1/T080514.html?pravo=1" TargetMode="External"/><Relationship Id="rId32" Type="http://schemas.openxmlformats.org/officeDocument/2006/relationships/hyperlink" Target="http://search.ligazakon.ua/l_doc2.nsf/link1/an_672/ed_2018_03_07/pravo1/T080514.html?pravo=1" TargetMode="External"/><Relationship Id="rId37" Type="http://schemas.openxmlformats.org/officeDocument/2006/relationships/hyperlink" Target="http://search.ligazakon.ua/l_doc2.nsf/link1/ed_2009_05_27/pravo1/MU50K02U.html?pravo=1" TargetMode="External"/><Relationship Id="rId53" Type="http://schemas.openxmlformats.org/officeDocument/2006/relationships/hyperlink" Target="http://search.ligazakon.ua/l_doc2.nsf/link1/an_2918/ed_2018_02_28/pravo1/T_179800.html?pravo=1" TargetMode="External"/><Relationship Id="rId58" Type="http://schemas.openxmlformats.org/officeDocument/2006/relationships/hyperlink" Target="http://search.ligazakon.ua/l_doc2.nsf/link1/an_385/ed_2018_02_06/pravo1/T157600.html?pravo=1" TargetMode="External"/><Relationship Id="rId74" Type="http://schemas.openxmlformats.org/officeDocument/2006/relationships/hyperlink" Target="http://search.ligazakon.ua/l_doc2.nsf/link1/an_300/ed_2018_05_01/pravo1/T080514.html?pravo=1" TargetMode="External"/><Relationship Id="rId79" Type="http://schemas.openxmlformats.org/officeDocument/2006/relationships/hyperlink" Target="http://search.ligazakon.ua/l_doc2.nsf/link1/an_30/ed_2016_06_02/pravo1/Z960254K.html?pravo=1" TargetMode="External"/><Relationship Id="rId5" Type="http://schemas.openxmlformats.org/officeDocument/2006/relationships/webSettings" Target="webSettings.xml"/><Relationship Id="rId19" Type="http://schemas.openxmlformats.org/officeDocument/2006/relationships/hyperlink" Target="http://search.ligazakon.ua/l_doc2.nsf/link1/an_672/ed_2018_03_07/pravo1/T080514.html?pravo=1" TargetMode="External"/><Relationship Id="rId14" Type="http://schemas.openxmlformats.org/officeDocument/2006/relationships/hyperlink" Target="http://search.ligazakon.ua/l_doc2.nsf/link1/an_1820/ed_2018_06_17/pravo1/T080514.html?pravo=1" TargetMode="External"/><Relationship Id="rId22" Type="http://schemas.openxmlformats.org/officeDocument/2006/relationships/hyperlink" Target="http://search.ligazakon.ua/l_doc2.nsf/link1/an_627815/ed_2009_05_27/pravo1/MU50K02U.html?pravo=1" TargetMode="External"/><Relationship Id="rId27" Type="http://schemas.openxmlformats.org/officeDocument/2006/relationships/hyperlink" Target="http://search.ligazakon.ua/l_doc2.nsf/link1/an_691/ed_2018_03_07/pravo1/T080514.html?pravo=1" TargetMode="External"/><Relationship Id="rId30" Type="http://schemas.openxmlformats.org/officeDocument/2006/relationships/hyperlink" Target="http://search.ligazakon.ua/l_doc2.nsf/link1/an_691/ed_2018_03_07/pravo1/T080514.html?pravo=1" TargetMode="External"/><Relationship Id="rId35" Type="http://schemas.openxmlformats.org/officeDocument/2006/relationships/hyperlink" Target="http://search.ligazakon.ua/l_doc2.nsf/link1/an_672/ed_2018_06_17/pravo1/T080514.html?pravo=1" TargetMode="External"/><Relationship Id="rId43" Type="http://schemas.openxmlformats.org/officeDocument/2006/relationships/hyperlink" Target="http://search.ligazakon.ua/l_doc2.nsf/link1/an_1741/ed_2018_06_17/pravo1/T080514.html?pravo=1" TargetMode="External"/><Relationship Id="rId48" Type="http://schemas.openxmlformats.org/officeDocument/2006/relationships/hyperlink" Target="http://search.ligazakon.ua/l_doc2.nsf/link1/an_5/ed_2018_06_17/pravo1/T080514.html?pravo=1" TargetMode="External"/><Relationship Id="rId56" Type="http://schemas.openxmlformats.org/officeDocument/2006/relationships/hyperlink" Target="http://search.ligazakon.ua/l_doc2.nsf/link1/ed_2018_02_06/pravo1/T157600.html?pravo=1" TargetMode="External"/><Relationship Id="rId64" Type="http://schemas.openxmlformats.org/officeDocument/2006/relationships/hyperlink" Target="http://search.ligazakon.ua/l_doc2.nsf/link1/an_462/ed_2018_05_01/pravo1/T080514.html?pravo=1" TargetMode="External"/><Relationship Id="rId69" Type="http://schemas.openxmlformats.org/officeDocument/2006/relationships/hyperlink" Target="http://search.ligazakon.ua/l_doc2.nsf/link1/ed_2016_07_13/pravo1/KP090270.html?pravo=1" TargetMode="External"/><Relationship Id="rId77" Type="http://schemas.openxmlformats.org/officeDocument/2006/relationships/hyperlink" Target="http://search.ligazakon.ua/l_doc2.nsf/link1/an_672/ed_2018_05_01/pravo1/T080514.html?pravo=1" TargetMode="External"/><Relationship Id="rId8" Type="http://schemas.openxmlformats.org/officeDocument/2006/relationships/hyperlink" Target="http://search.ligazakon.ua/l_doc2.nsf/link1/an_1820/ed_2018_03_07/pravo1/T080514.html?pravo=1" TargetMode="External"/><Relationship Id="rId51" Type="http://schemas.openxmlformats.org/officeDocument/2006/relationships/hyperlink" Target="http://search.ligazakon.ua/l_doc2.nsf/link1/ed_2018_02_06/pravo1/T157600.html?pravo=1" TargetMode="External"/><Relationship Id="rId72" Type="http://schemas.openxmlformats.org/officeDocument/2006/relationships/hyperlink" Target="http://search.ligazakon.ua/l_doc2.nsf/link1/ed_2016_06_02/pravo1/Z960254K.html?pravo=1" TargetMode="External"/><Relationship Id="rId80" Type="http://schemas.openxmlformats.org/officeDocument/2006/relationships/hyperlink" Target="http://search.ligazakon.ua/l_doc2.nsf/link1/ed_2006_02_09/pravo1/Z970475.html?pravo=1" TargetMode="External"/><Relationship Id="rId85" Type="http://schemas.openxmlformats.org/officeDocument/2006/relationships/hyperlink" Target="http://search.ligazakon.ua/l_doc2.nsf/link1/an_283/ed_2014_10_30/pravo1/T031087.html?pravo=1" TargetMode="External"/><Relationship Id="rId3" Type="http://schemas.openxmlformats.org/officeDocument/2006/relationships/styles" Target="styles.xml"/><Relationship Id="rId12" Type="http://schemas.openxmlformats.org/officeDocument/2006/relationships/hyperlink" Target="http://search.ligazakon.ua/l_doc2.nsf/link1/an_1820/ed_2018_03_07/pravo1/T080514.html?pravo=1" TargetMode="External"/><Relationship Id="rId17" Type="http://schemas.openxmlformats.org/officeDocument/2006/relationships/hyperlink" Target="http://search.ligazakon.ua/l_doc2.nsf/link1/an_34/ed_2018_02_06/pravo1/T030436.html?pravo=1" TargetMode="External"/><Relationship Id="rId25" Type="http://schemas.openxmlformats.org/officeDocument/2006/relationships/hyperlink" Target="http://search.ligazakon.ua/l_doc2.nsf/link1/an_672/ed_2018_03_07/pravo1/T080514.html?pravo=1" TargetMode="External"/><Relationship Id="rId33" Type="http://schemas.openxmlformats.org/officeDocument/2006/relationships/hyperlink" Target="http://search.ligazakon.ua/l_doc2.nsf/link1/an_843302/ed_2018_03_07/pravo1/T030435.html?pravo=1" TargetMode="External"/><Relationship Id="rId38" Type="http://schemas.openxmlformats.org/officeDocument/2006/relationships/hyperlink" Target="http://search.ligazakon.ua/l_doc2.nsf/link1/ed_2009_05_27/pravo1/MU50K02U.html?pravo=1" TargetMode="External"/><Relationship Id="rId46" Type="http://schemas.openxmlformats.org/officeDocument/2006/relationships/hyperlink" Target="http://search.ligazakon.ua/l_doc2.nsf/link1/an_1741/ed_2018_06_17/pravo1/T080514.html?pravo=1" TargetMode="External"/><Relationship Id="rId59" Type="http://schemas.openxmlformats.org/officeDocument/2006/relationships/hyperlink" Target="http://search.ligazakon.ua/l_doc2.nsf/link1/ed_2015_11_24/pravo1/T150816.html?pravo=1" TargetMode="External"/><Relationship Id="rId67" Type="http://schemas.openxmlformats.org/officeDocument/2006/relationships/hyperlink" Target="http://search.ligazakon.ua/l_doc2.nsf/link1/an_462/ed_2018_05_01/pravo1/T080514.html?pravo=1" TargetMode="External"/><Relationship Id="rId20" Type="http://schemas.openxmlformats.org/officeDocument/2006/relationships/hyperlink" Target="http://search.ligazakon.ua/l_doc2.nsf/link1/an_672/ed_2018_03_07/pravo1/T080514.html?pravo=1" TargetMode="External"/><Relationship Id="rId41" Type="http://schemas.openxmlformats.org/officeDocument/2006/relationships/hyperlink" Target="http://search.ligazakon.ua/l_doc2.nsf/link1/an_843047/ed_2018_06_17/pravo1/T030435.html?pravo=1" TargetMode="External"/><Relationship Id="rId54" Type="http://schemas.openxmlformats.org/officeDocument/2006/relationships/hyperlink" Target="http://search.ligazakon.ua/l_doc2.nsf/link1/an_385/ed_2018_02_06/pravo1/T157600.html?pravo=1" TargetMode="External"/><Relationship Id="rId62" Type="http://schemas.openxmlformats.org/officeDocument/2006/relationships/hyperlink" Target="http://search.ligazakon.ua/l_doc2.nsf/link1/an_2918/ed_2018_02_28/pravo1/T_179800.html?pravo=1" TargetMode="External"/><Relationship Id="rId70" Type="http://schemas.openxmlformats.org/officeDocument/2006/relationships/hyperlink" Target="http://search.ligazakon.ua/l_doc2.nsf/link1/ed_2004_12_01/pravo1/KS04025.html?pravo=1" TargetMode="External"/><Relationship Id="rId75" Type="http://schemas.openxmlformats.org/officeDocument/2006/relationships/hyperlink" Target="http://search.ligazakon.ua/l_doc2.nsf/link1/an_399/ed_2018_05_01/pravo1/T080514.html?pravo=1" TargetMode="External"/><Relationship Id="rId83" Type="http://schemas.openxmlformats.org/officeDocument/2006/relationships/hyperlink" Target="http://search.ligazakon.ua/l_doc2.nsf/link1/an_391/ed_2017_03_23/pravo1/T157600.html?pravo=1"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earch.ligazakon.ua/l_doc2.nsf/link1/an_1820/ed_2018_06_17/pravo1/T080514.html?pravo=1" TargetMode="External"/><Relationship Id="rId23" Type="http://schemas.openxmlformats.org/officeDocument/2006/relationships/hyperlink" Target="http://search.ligazakon.ua/l_doc2.nsf/link1/an_627815/ed_2009_05_27/pravo1/MU50K02U.html?pravo=1" TargetMode="External"/><Relationship Id="rId28" Type="http://schemas.openxmlformats.org/officeDocument/2006/relationships/hyperlink" Target="http://search.ligazakon.ua/l_doc2.nsf/link1/an_672/ed_2018_03_07/pravo1/T080514.html?pravo=1" TargetMode="External"/><Relationship Id="rId36" Type="http://schemas.openxmlformats.org/officeDocument/2006/relationships/hyperlink" Target="http://search.ligazakon.ua/l_doc2.nsf/link1/an_682/ed_2018_06_17/pravo1/T080514.html?pravo=1" TargetMode="External"/><Relationship Id="rId49" Type="http://schemas.openxmlformats.org/officeDocument/2006/relationships/hyperlink" Target="http://search.ligazakon.ua/l_doc2.nsf/link1/an_6/ed_2018_01_18/pravo1/T012210.html?pravo=1" TargetMode="External"/><Relationship Id="rId57" Type="http://schemas.openxmlformats.org/officeDocument/2006/relationships/hyperlink" Target="http://search.ligazakon.ua/l_doc2.nsf/link1/ed_2018_02_06/pravo1/T157600.html?pravo=1" TargetMode="External"/><Relationship Id="rId10" Type="http://schemas.openxmlformats.org/officeDocument/2006/relationships/hyperlink" Target="http://search.ligazakon.ua/l_doc2.nsf/link1/an_1820/ed_2018_03_07/pravo1/T080514.html?pravo=1" TargetMode="External"/><Relationship Id="rId31" Type="http://schemas.openxmlformats.org/officeDocument/2006/relationships/hyperlink" Target="http://search.ligazakon.ua/l_doc2.nsf/link1/ed_2018_03_07/pravo1/T080514.html?pravo=1" TargetMode="External"/><Relationship Id="rId44" Type="http://schemas.openxmlformats.org/officeDocument/2006/relationships/hyperlink" Target="http://search.ligazakon.ua/l_doc2.nsf/link1/an_1741/ed_2018_06_17/pravo1/T080514.html?pravo=1" TargetMode="External"/><Relationship Id="rId52" Type="http://schemas.openxmlformats.org/officeDocument/2006/relationships/hyperlink" Target="http://search.ligazakon.ua/l_doc2.nsf/link1/an_385/ed_2018_02_06/pravo1/T157600.html?pravo=1" TargetMode="External"/><Relationship Id="rId60" Type="http://schemas.openxmlformats.org/officeDocument/2006/relationships/hyperlink" Target="http://search.ligazakon.ua/l_doc2.nsf/link1/an_385/ed_2018_02_06/pravo1/T157600.html?pravo=1" TargetMode="External"/><Relationship Id="rId65" Type="http://schemas.openxmlformats.org/officeDocument/2006/relationships/hyperlink" Target="http://search.ligazakon.ua/l_doc2.nsf/link1/an_336/ed_2018_05_01/pravo1/T080514.html?pravo=1" TargetMode="External"/><Relationship Id="rId73" Type="http://schemas.openxmlformats.org/officeDocument/2006/relationships/hyperlink" Target="http://search.ligazakon.ua/l_doc2.nsf/link1/an_7396/ed_2018_02_28/pravo1/T04_1618.html?pravo=1" TargetMode="External"/><Relationship Id="rId78" Type="http://schemas.openxmlformats.org/officeDocument/2006/relationships/hyperlink" Target="http://search.ligazakon.ua/l_doc2.nsf/link1/an_219/ed_2018_05_01/pravo1/T080514.html?pravo=1" TargetMode="External"/><Relationship Id="rId81" Type="http://schemas.openxmlformats.org/officeDocument/2006/relationships/hyperlink" Target="http://search.ligazakon.ua/l_doc2.nsf/link1/ed_2009_05_27/pravo1/MU50K02U.html?pravo=1"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arch.ligazakon.ua/l_doc2.nsf/link1/an_1820/ed_2018_03_07/pravo1/T080514.html?pravo=1" TargetMode="External"/><Relationship Id="rId13" Type="http://schemas.openxmlformats.org/officeDocument/2006/relationships/hyperlink" Target="http://search.ligazakon.ua/l_doc2.nsf/link1/an_1820/ed_2018_06_17/pravo1/T080514.html?pravo=1" TargetMode="External"/><Relationship Id="rId18" Type="http://schemas.openxmlformats.org/officeDocument/2006/relationships/hyperlink" Target="http://search.ligazakon.ua/l_doc2.nsf/link1/an_672/ed_2018_03_07/pravo1/T080514.html?pravo=1" TargetMode="External"/><Relationship Id="rId39" Type="http://schemas.openxmlformats.org/officeDocument/2006/relationships/hyperlink" Target="http://search.ligazakon.ua/l_doc2.nsf/link1/an_843044/ed_2018_06_17/pravo1/T030435.html?pravo=1" TargetMode="External"/><Relationship Id="rId34" Type="http://schemas.openxmlformats.org/officeDocument/2006/relationships/hyperlink" Target="http://search.ligazakon.ua/l_doc2.nsf/link1/an_72/ed_2018_06_17/pravo1/T080514.html?pravo=1" TargetMode="External"/><Relationship Id="rId50" Type="http://schemas.openxmlformats.org/officeDocument/2006/relationships/hyperlink" Target="http://search.ligazakon.ua/l_doc2.nsf/link1/an_385/ed_2018_02_06/pravo1/T157600.html?pravo=1" TargetMode="External"/><Relationship Id="rId55" Type="http://schemas.openxmlformats.org/officeDocument/2006/relationships/hyperlink" Target="http://search.ligazakon.ua/l_doc2.nsf/link1/ed_2018_02_06/pravo1/T157600.html?pravo=1" TargetMode="External"/><Relationship Id="rId76" Type="http://schemas.openxmlformats.org/officeDocument/2006/relationships/hyperlink" Target="http://search.ligazakon.ua/l_doc2.nsf/link1/an_300/ed_2018_05_01/pravo1/T080514.html?pravo=1" TargetMode="External"/><Relationship Id="rId7" Type="http://schemas.openxmlformats.org/officeDocument/2006/relationships/hyperlink" Target="http://search.ligazakon.ua/l_doc2.nsf/link1/an_1820/ed_2018_03_07/pravo1/T080514.html?pravo=1" TargetMode="External"/><Relationship Id="rId71" Type="http://schemas.openxmlformats.org/officeDocument/2006/relationships/hyperlink" Target="http://search.ligazakon.ua/l_doc2.nsf/link1/an_7396/ed_2018_02_28/pravo1/T04_1618.html?pravo=1" TargetMode="External"/><Relationship Id="rId2" Type="http://schemas.openxmlformats.org/officeDocument/2006/relationships/numbering" Target="numbering.xml"/><Relationship Id="rId29" Type="http://schemas.openxmlformats.org/officeDocument/2006/relationships/hyperlink" Target="http://search.ligazakon.ua/l_doc2.nsf/link1/an_672/ed_2018_03_07/pravo1/T080514.html?pravo=1" TargetMode="External"/><Relationship Id="rId24" Type="http://schemas.openxmlformats.org/officeDocument/2006/relationships/hyperlink" Target="http://search.ligazakon.ua/l_doc2.nsf/link1/ed_2018_03_07/pravo1/T080514.html?pravo=1" TargetMode="External"/><Relationship Id="rId40" Type="http://schemas.openxmlformats.org/officeDocument/2006/relationships/hyperlink" Target="http://search.ligazakon.ua/l_doc2.nsf/link1/an_843046/ed_2018_06_17/pravo1/T030435.html?pravo=1" TargetMode="External"/><Relationship Id="rId45" Type="http://schemas.openxmlformats.org/officeDocument/2006/relationships/hyperlink" Target="http://search.ligazakon.ua/l_doc2.nsf/link1/an_12/ed_2018_06_17/pravo1/T080514.html?pravo=1" TargetMode="External"/><Relationship Id="rId66" Type="http://schemas.openxmlformats.org/officeDocument/2006/relationships/hyperlink" Target="http://search.ligazakon.ua/l_doc2.nsf/link1/an_336/ed_2018_05_01/pravo1/T080514.html?pravo=1" TargetMode="External"/><Relationship Id="rId87" Type="http://schemas.openxmlformats.org/officeDocument/2006/relationships/theme" Target="theme/theme1.xml"/><Relationship Id="rId61" Type="http://schemas.openxmlformats.org/officeDocument/2006/relationships/hyperlink" Target="http://search.ligazakon.ua/l_doc2.nsf/link1/an_385/ed_2018_02_06/pravo1/T157600.html?pravo=1" TargetMode="External"/><Relationship Id="rId82" Type="http://schemas.openxmlformats.org/officeDocument/2006/relationships/hyperlink" Target="http://search.ligazakon.ua/l_doc2.nsf/link1/ed_2012_10_16/pravo1/T063477.html?prav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95AE3A-AEC4-436B-9108-813AB9E43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8599</Words>
  <Characters>57099</Characters>
  <Application>Microsoft Office Word</Application>
  <DocSecurity>0</DocSecurity>
  <Lines>3568</Lines>
  <Paragraphs>1313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Сависько</dc:creator>
  <cp:lastModifiedBy>Довбыш Дмитрий</cp:lastModifiedBy>
  <cp:revision>2</cp:revision>
  <dcterms:created xsi:type="dcterms:W3CDTF">2018-09-27T07:34:00Z</dcterms:created>
  <dcterms:modified xsi:type="dcterms:W3CDTF">2018-09-27T07:34:00Z</dcterms:modified>
</cp:coreProperties>
</file>