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080C" w:rsidRPr="0016080C" w:rsidRDefault="0016080C" w:rsidP="001608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0" w:name="_GoBack"/>
      <w:bookmarkEnd w:id="0"/>
      <w:r w:rsidRPr="0016080C">
        <w:rPr>
          <w:rFonts w:ascii="Consolas" w:eastAsia="Times New Roman" w:hAnsi="Consolas" w:cs="Courier New"/>
          <w:b/>
          <w:bCs/>
          <w:color w:val="292B2C"/>
          <w:sz w:val="26"/>
          <w:szCs w:val="26"/>
          <w:lang w:eastAsia="uk-UA"/>
        </w:rPr>
        <w:t xml:space="preserve">                       Директива 98/26/ЄС </w:t>
      </w:r>
      <w:r w:rsidRPr="0016080C">
        <w:rPr>
          <w:rFonts w:ascii="Consolas" w:eastAsia="Times New Roman" w:hAnsi="Consolas" w:cs="Courier New"/>
          <w:b/>
          <w:bCs/>
          <w:color w:val="292B2C"/>
          <w:sz w:val="26"/>
          <w:szCs w:val="26"/>
          <w:lang w:eastAsia="uk-UA"/>
        </w:rPr>
        <w:br/>
        <w:t xml:space="preserve">       Європейського Парламенту та Ради Європейського Союзу </w:t>
      </w:r>
      <w:r w:rsidRPr="0016080C">
        <w:rPr>
          <w:rFonts w:ascii="Consolas" w:eastAsia="Times New Roman" w:hAnsi="Consolas" w:cs="Courier New"/>
          <w:b/>
          <w:bCs/>
          <w:color w:val="292B2C"/>
          <w:sz w:val="26"/>
          <w:szCs w:val="26"/>
          <w:lang w:eastAsia="uk-UA"/>
        </w:rPr>
        <w:br/>
        <w:t xml:space="preserve">       "Про незворотність розрахунків у платіжних системах </w:t>
      </w:r>
      <w:r w:rsidRPr="0016080C">
        <w:rPr>
          <w:rFonts w:ascii="Consolas" w:eastAsia="Times New Roman" w:hAnsi="Consolas" w:cs="Courier New"/>
          <w:b/>
          <w:bCs/>
          <w:color w:val="292B2C"/>
          <w:sz w:val="26"/>
          <w:szCs w:val="26"/>
          <w:lang w:eastAsia="uk-UA"/>
        </w:rPr>
        <w:br/>
        <w:t xml:space="preserve">            та системах розрахунків по цінних паперах" </w:t>
      </w:r>
      <w:r w:rsidRPr="0016080C">
        <w:rPr>
          <w:rFonts w:ascii="Consolas" w:eastAsia="Times New Roman" w:hAnsi="Consolas" w:cs="Courier New"/>
          <w:b/>
          <w:bCs/>
          <w:color w:val="292B2C"/>
          <w:sz w:val="26"/>
          <w:szCs w:val="26"/>
          <w:lang w:eastAsia="uk-UA"/>
        </w:rPr>
        <w:br/>
      </w:r>
    </w:p>
    <w:p w:rsidR="0016080C" w:rsidRPr="0016080C" w:rsidRDefault="0016080C" w:rsidP="001608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1" w:name="o2"/>
      <w:bookmarkEnd w:id="1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                      19 травня 1998 року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</w:r>
    </w:p>
    <w:p w:rsidR="0016080C" w:rsidRPr="0016080C" w:rsidRDefault="0016080C" w:rsidP="001608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2" w:name="o3"/>
      <w:bookmarkEnd w:id="2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    ЄВРОПЕЙСЬКИЙ ПАРЛАМЕНТ ТА РАДА ЄВРОПЕЙСЬКОГО СОЮЗУ,</w:t>
      </w:r>
    </w:p>
    <w:p w:rsidR="0016080C" w:rsidRPr="0016080C" w:rsidRDefault="0016080C" w:rsidP="001608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3" w:name="o4"/>
      <w:bookmarkEnd w:id="3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    Беручи   до   уваги  Угоду  про створення Європейського Союзу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( </w:t>
      </w:r>
      <w:hyperlink r:id="rId4" w:tgtFrame="_blank" w:history="1">
        <w:r w:rsidRPr="0016080C">
          <w:rPr>
            <w:rFonts w:ascii="Consolas" w:eastAsia="Times New Roman" w:hAnsi="Consolas" w:cs="Courier New"/>
            <w:color w:val="0000FF"/>
            <w:sz w:val="26"/>
            <w:szCs w:val="26"/>
            <w:u w:val="single"/>
            <w:lang w:eastAsia="uk-UA"/>
          </w:rPr>
          <w:t>994_029</w:t>
        </w:r>
      </w:hyperlink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), і зокрема Статтю 100a цієї Угоди,</w:t>
      </w:r>
    </w:p>
    <w:p w:rsidR="0016080C" w:rsidRPr="0016080C" w:rsidRDefault="0016080C" w:rsidP="001608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4" w:name="o5"/>
      <w:bookmarkEnd w:id="4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    Беручи до уваги пропозицію Комісії (1),</w:t>
      </w:r>
    </w:p>
    <w:p w:rsidR="0016080C" w:rsidRPr="0016080C" w:rsidRDefault="0016080C" w:rsidP="001608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5" w:name="o6"/>
      <w:bookmarkEnd w:id="5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    Беручи до уваги висновок Європейського монетарного  інституту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>(2),</w:t>
      </w:r>
    </w:p>
    <w:p w:rsidR="0016080C" w:rsidRPr="0016080C" w:rsidRDefault="0016080C" w:rsidP="001608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6" w:name="o7"/>
      <w:bookmarkEnd w:id="6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    Беручи до уваги висновок Комітету з економічних і  соціальних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>питань (3),</w:t>
      </w:r>
    </w:p>
    <w:p w:rsidR="0016080C" w:rsidRPr="0016080C" w:rsidRDefault="0016080C" w:rsidP="001608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7" w:name="o8"/>
      <w:bookmarkEnd w:id="7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    Діючи у відповідності з  процедурою,  передбаченою  в  Статті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>189b Угоди (4),</w:t>
      </w:r>
    </w:p>
    <w:p w:rsidR="0016080C" w:rsidRPr="0016080C" w:rsidRDefault="0016080C" w:rsidP="001608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8" w:name="o9"/>
      <w:bookmarkEnd w:id="8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_______________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     (1) Офіційний  журнал  (OJ)  C  207,  18.07.96, p.  13,</w:t>
      </w:r>
    </w:p>
    <w:p w:rsidR="0016080C" w:rsidRPr="0016080C" w:rsidRDefault="0016080C" w:rsidP="001608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Офіційний журнал (OJ) C 259, 26.08.97, p. 6.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     (2) Висновок поданий 21 листопада 1996 р.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     (3) Офіційний журнал (OJ) C 56, 24.02.97, p. 1.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     (4) Висновок  Європейського  Парламенту  від 9 квітня 1997 р.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(Офіційний журнал (OJ) C 132,  28.04.97,  p.  74), Спільна позиція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Ради від 13 жовтня 1997 р. (Офіційний журнал (OJ) C 375, 10.12.97,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p.  34) та Рішення Європейського Парламенту від 29 січня  1998  р.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>(Офіційний журнал (OJ) C 56, 23.02.98).</w:t>
      </w:r>
    </w:p>
    <w:p w:rsidR="0016080C" w:rsidRPr="0016080C" w:rsidRDefault="0016080C" w:rsidP="001608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9" w:name="o11"/>
      <w:bookmarkEnd w:id="9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    Рішення Ради від 27 квітня 1998 р.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</w:r>
    </w:p>
    <w:p w:rsidR="0016080C" w:rsidRPr="0016080C" w:rsidRDefault="0016080C" w:rsidP="001608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10" w:name="o12"/>
      <w:bookmarkEnd w:id="10"/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 xml:space="preserve">     (1) Оскільки у звіті "</w:t>
      </w:r>
      <w:proofErr w:type="spellStart"/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>Ламфалюссі</w:t>
      </w:r>
      <w:proofErr w:type="spellEnd"/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>" (</w:t>
      </w:r>
      <w:proofErr w:type="spellStart"/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>Lamfalussy</w:t>
      </w:r>
      <w:proofErr w:type="spellEnd"/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 xml:space="preserve"> </w:t>
      </w:r>
      <w:proofErr w:type="spellStart"/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>report</w:t>
      </w:r>
      <w:proofErr w:type="spellEnd"/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 xml:space="preserve">) за 1990 </w:t>
      </w:r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рік,  який  був  направлений  головам  правлінь центральних банків </w:t>
      </w:r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Групи G-10 "десяти країн", було порушено питання значних системних </w:t>
      </w:r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ризиків,  властивих </w:t>
      </w:r>
      <w:proofErr w:type="spellStart"/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>платіжно</w:t>
      </w:r>
      <w:proofErr w:type="spellEnd"/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 xml:space="preserve">-розрахунковим системам,  які діють на </w:t>
      </w:r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основі кількох юридичних типів взаємозаліків по </w:t>
      </w:r>
      <w:proofErr w:type="spellStart"/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>платежах</w:t>
      </w:r>
      <w:proofErr w:type="spellEnd"/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 xml:space="preserve">,  зокрема </w:t>
      </w:r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багатосторонніх  взаємозаліків по </w:t>
      </w:r>
      <w:proofErr w:type="spellStart"/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>платежах</w:t>
      </w:r>
      <w:proofErr w:type="spellEnd"/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 xml:space="preserve"> (</w:t>
      </w:r>
      <w:proofErr w:type="spellStart"/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>multilateral</w:t>
      </w:r>
      <w:proofErr w:type="spellEnd"/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 xml:space="preserve"> </w:t>
      </w:r>
      <w:proofErr w:type="spellStart"/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>netting</w:t>
      </w:r>
      <w:proofErr w:type="spellEnd"/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 xml:space="preserve">); </w:t>
      </w:r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в той час як скорочення юридичних ризиків,  пов'язаних з участю  в </w:t>
      </w:r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</w:r>
      <w:proofErr w:type="spellStart"/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>платіжно</w:t>
      </w:r>
      <w:proofErr w:type="spellEnd"/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 xml:space="preserve">-розрахункових  системах  в реальному часі має надзвичайно </w:t>
      </w:r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>важливе значення, беручи до уваги зростаючий розвиток цих систем;</w:t>
      </w:r>
    </w:p>
    <w:p w:rsidR="0016080C" w:rsidRPr="0016080C" w:rsidRDefault="0016080C" w:rsidP="001608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11" w:name="o13"/>
      <w:bookmarkEnd w:id="11"/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 xml:space="preserve">     (2) Оскільки   зменшення   ризиків,  пов'язаних  з  участю  в </w:t>
      </w:r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системах розрахунків по цінних паперах також має велике  значення, </w:t>
      </w:r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зокрема  в умовах,  коли існує тісний зв'язок між такими системами </w:t>
      </w:r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та </w:t>
      </w:r>
      <w:proofErr w:type="spellStart"/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>платіжно</w:t>
      </w:r>
      <w:proofErr w:type="spellEnd"/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>-розрахунковими системами;</w:t>
      </w:r>
    </w:p>
    <w:p w:rsidR="0016080C" w:rsidRPr="0016080C" w:rsidRDefault="0016080C" w:rsidP="001608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12" w:name="o14"/>
      <w:bookmarkEnd w:id="12"/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 xml:space="preserve">     (3) Оскільки ця Директива спрямована на забезпечення розвитку </w:t>
      </w:r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якомога  ефективнішого  та  </w:t>
      </w:r>
      <w:proofErr w:type="spellStart"/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>маловитратного</w:t>
      </w:r>
      <w:proofErr w:type="spellEnd"/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 xml:space="preserve">   функціонування   схем </w:t>
      </w:r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платежів і розрахунків за цінними паперами, які здійснюються через </w:t>
      </w:r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державні кордони в межах Співтовариства,  що посилює  вільний  рух </w:t>
      </w:r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капіталу на внутрішньому ринку;  оскільки ця Директива є наступним </w:t>
      </w:r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кроком у прогресі,  який  був  досягнутий  у  напрямку  завершення </w:t>
      </w:r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</w:r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lastRenderedPageBreak/>
        <w:t xml:space="preserve">формування внутрішнього ринку, зокрема, вільного надання послуг та </w:t>
      </w:r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лібералізації руху капіталів з метою  формування  Економічного  та </w:t>
      </w:r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>Монетарного Союзу;</w:t>
      </w:r>
    </w:p>
    <w:p w:rsidR="0016080C" w:rsidRPr="0016080C" w:rsidRDefault="0016080C" w:rsidP="001608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13" w:name="o15"/>
      <w:bookmarkEnd w:id="13"/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 xml:space="preserve">     (4) Оскільки   бажано,    щоб    національне    законодавство </w:t>
      </w:r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країн-членів  ЄС  спрямовувалося на мінімізацію загрози руйнування </w:t>
      </w:r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системи,  що викликана процедурами  банкрутства,  які  порушуються </w:t>
      </w:r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>проти учасника такої системи;</w:t>
      </w:r>
    </w:p>
    <w:p w:rsidR="0016080C" w:rsidRPr="0016080C" w:rsidRDefault="0016080C" w:rsidP="001608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14" w:name="o16"/>
      <w:bookmarkEnd w:id="14"/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 xml:space="preserve">     (5) Оскільки пропозиція щодо Директиви про  реорганізацію  та </w:t>
      </w:r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ліквідацію  кредитних установ,  яка була подана в 1985 році,  і до </w:t>
      </w:r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якої 8 лютого 1988 року були внесені зміни та доповнення,  все  ще </w:t>
      </w:r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перебуває  на  розгляді  у Раді;  оскільки Конвенція про процедури </w:t>
      </w:r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>банкрутства (</w:t>
      </w:r>
      <w:proofErr w:type="spellStart"/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>Convention</w:t>
      </w:r>
      <w:proofErr w:type="spellEnd"/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 xml:space="preserve"> </w:t>
      </w:r>
      <w:proofErr w:type="spellStart"/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>on</w:t>
      </w:r>
      <w:proofErr w:type="spellEnd"/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 xml:space="preserve"> </w:t>
      </w:r>
      <w:proofErr w:type="spellStart"/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>Insolvency</w:t>
      </w:r>
      <w:proofErr w:type="spellEnd"/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 xml:space="preserve">  </w:t>
      </w:r>
      <w:proofErr w:type="spellStart"/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>Proceedings</w:t>
      </w:r>
      <w:proofErr w:type="spellEnd"/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 xml:space="preserve">),  підготовлена </w:t>
      </w:r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23 листопада 1995 року на засіданні країн-членів ЄС в рамках Ради, </w:t>
      </w:r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прямо  виключає  страхові  організації,   кредитні   установи   та </w:t>
      </w:r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>інвестиційні фірми;</w:t>
      </w:r>
    </w:p>
    <w:p w:rsidR="0016080C" w:rsidRPr="0016080C" w:rsidRDefault="0016080C" w:rsidP="001608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15" w:name="o17"/>
      <w:bookmarkEnd w:id="15"/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 xml:space="preserve">     (6) Оскільки  ця  Директива  ставить  за  мету  охоплення  як </w:t>
      </w:r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внутрішніх, так  і  міждержавних  </w:t>
      </w:r>
      <w:proofErr w:type="spellStart"/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>платіжно</w:t>
      </w:r>
      <w:proofErr w:type="spellEnd"/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 xml:space="preserve">-розрахункових  систем і </w:t>
      </w:r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систем розрахунків по цінних паперах;  оскільки Директива  поширює </w:t>
      </w:r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свою  дію  на  системи  в  межах  Співтовариства,  а також майнове </w:t>
      </w:r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забезпечення,  що надається їх учасниками у зв'язку з участю в цих </w:t>
      </w:r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системах,  незалежно  від  того,  походять  вони  із  країн-членів </w:t>
      </w:r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>Співдружності, чи з третіх країн;</w:t>
      </w:r>
    </w:p>
    <w:p w:rsidR="0016080C" w:rsidRPr="0016080C" w:rsidRDefault="0016080C" w:rsidP="001608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16" w:name="o18"/>
      <w:bookmarkEnd w:id="16"/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 xml:space="preserve">     (7) Оскільки  країни-члени  ЄС можуть застосовувати положення </w:t>
      </w:r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цієї  Директиви  до   своїх   внутрішніх   установ,   які   беруть </w:t>
      </w:r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безпосередню  участь  у  системах  третіх  країн,  та до майнового </w:t>
      </w:r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>забезпечення, що надається у зв'язку з участю в таких системах;</w:t>
      </w:r>
    </w:p>
    <w:p w:rsidR="0016080C" w:rsidRPr="0016080C" w:rsidRDefault="0016080C" w:rsidP="001608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17" w:name="o19"/>
      <w:bookmarkEnd w:id="17"/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 xml:space="preserve">     (8) Оскільки  країнам-членам  ЄС  має бути дозволено називати </w:t>
      </w:r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системою таку систему,  яка підпадає під  дію  цієї  Директиви  та </w:t>
      </w:r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основна  діяльність  якої  пов'язана із здійсненням розрахунків за </w:t>
      </w:r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цінні папери,  навіть якщо в межах такої системи в незначній  мірі </w:t>
      </w:r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>також здійснюються операції з товарними деривативами;</w:t>
      </w:r>
    </w:p>
    <w:p w:rsidR="0016080C" w:rsidRPr="0016080C" w:rsidRDefault="0016080C" w:rsidP="001608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18" w:name="o20"/>
      <w:bookmarkEnd w:id="18"/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 xml:space="preserve">     (9) Оскільки  зменшення  системного  ризику  вимагає  зокрема </w:t>
      </w:r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незворотності   розрахунків  і  можливості  примусової  реалізації </w:t>
      </w:r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майнового  забезпечення;  оскільки  майнове  забезпечення  повинно </w:t>
      </w:r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включати    в    себе   всі   засоби,   що   надаються   учасником </w:t>
      </w:r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</w:r>
      <w:proofErr w:type="spellStart"/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>платіжно</w:t>
      </w:r>
      <w:proofErr w:type="spellEnd"/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 xml:space="preserve">-розрахункової системи і/або системи розрахунків по цінних </w:t>
      </w:r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паперах  іншим  учасникам  для  забезпечення  прав та обов'язків у </w:t>
      </w:r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>зв'язку  з  цією  системою,  включаючи  угоди  "</w:t>
      </w:r>
      <w:proofErr w:type="spellStart"/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>репо</w:t>
      </w:r>
      <w:proofErr w:type="spellEnd"/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>"  (</w:t>
      </w:r>
      <w:proofErr w:type="spellStart"/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>repurchase</w:t>
      </w:r>
      <w:proofErr w:type="spellEnd"/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 xml:space="preserve"> </w:t>
      </w:r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</w:r>
      <w:proofErr w:type="spellStart"/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>agreements</w:t>
      </w:r>
      <w:proofErr w:type="spellEnd"/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>),  статутні заставні права (</w:t>
      </w:r>
      <w:proofErr w:type="spellStart"/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>statutory</w:t>
      </w:r>
      <w:proofErr w:type="spellEnd"/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 xml:space="preserve"> </w:t>
      </w:r>
      <w:proofErr w:type="spellStart"/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>liens</w:t>
      </w:r>
      <w:proofErr w:type="spellEnd"/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 xml:space="preserve">) та платежі </w:t>
      </w:r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>за   дорученням   (</w:t>
      </w:r>
      <w:proofErr w:type="spellStart"/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>fiduciary</w:t>
      </w:r>
      <w:proofErr w:type="spellEnd"/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 xml:space="preserve">   </w:t>
      </w:r>
      <w:proofErr w:type="spellStart"/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>transfers</w:t>
      </w:r>
      <w:proofErr w:type="spellEnd"/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 xml:space="preserve">);   оскільки    положення </w:t>
      </w:r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національного   законодавства,   що   регулюють   відповідний  тип </w:t>
      </w:r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майнового забезпечення,  яке може  використовуватися,  не  повинні </w:t>
      </w:r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підпадати  під  вплив  визначення поняття майнового забезпечення в </w:t>
      </w:r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>цій Директиві;</w:t>
      </w:r>
    </w:p>
    <w:p w:rsidR="0016080C" w:rsidRPr="0016080C" w:rsidRDefault="0016080C" w:rsidP="001608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19" w:name="o21"/>
      <w:bookmarkEnd w:id="19"/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 xml:space="preserve">     (10) Оскільки  ця Директива,  охоплюючи майнове забезпечення, </w:t>
      </w:r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що  надається  у   зв'язку   з   діяльністю   центральних   банків </w:t>
      </w:r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країн-членів   ЄС,   які  виконують  функції  центральних  банків, </w:t>
      </w:r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включаючи  діяльність  у  галузі  монетарної  політики,  допомагає </w:t>
      </w:r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Європейському монетарному інституту у виконанні його завдання щодо </w:t>
      </w:r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</w:r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lastRenderedPageBreak/>
        <w:t xml:space="preserve">стимулювання  ефективності  платежів,   які   здійснюються   через </w:t>
      </w:r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державні  кордони,  з метою підготовки третьої стадії Економічного </w:t>
      </w:r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та Монетарного Союзу,  і цим робить внесок у  розвиток  необхідної </w:t>
      </w:r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законодавчої   бази,   в   рамках   якої   майбутній  Європейський </w:t>
      </w:r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>центральний банк може розвивати свою політику;</w:t>
      </w:r>
    </w:p>
    <w:p w:rsidR="0016080C" w:rsidRPr="0016080C" w:rsidRDefault="0016080C" w:rsidP="001608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20" w:name="o22"/>
      <w:bookmarkEnd w:id="20"/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 xml:space="preserve">     (11) Оскільки  доручення  про  передачу  та  взаємозаліки  по </w:t>
      </w:r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</w:r>
      <w:proofErr w:type="spellStart"/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>платежах</w:t>
      </w:r>
      <w:proofErr w:type="spellEnd"/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 xml:space="preserve"> мають бути такими,  що підлягають правовому обов'язковому </w:t>
      </w:r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виконанню  в усіх юрисдикціях країн-членів ЄС,  та є обов'язковими </w:t>
      </w:r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>до виконання третіми особами;</w:t>
      </w:r>
    </w:p>
    <w:p w:rsidR="0016080C" w:rsidRPr="0016080C" w:rsidRDefault="0016080C" w:rsidP="001608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21" w:name="o23"/>
      <w:bookmarkEnd w:id="21"/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 xml:space="preserve">     (12) Оскільки  правила  про  незворотність  взаємозаліків  по </w:t>
      </w:r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</w:r>
      <w:proofErr w:type="spellStart"/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>платежах</w:t>
      </w:r>
      <w:proofErr w:type="spellEnd"/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 xml:space="preserve">  не   повинні   перешкоджати   тестуванню   систем,   яке </w:t>
      </w:r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здійснюється  ще  до  моменту проведення таких взаємозаліків,  для </w:t>
      </w:r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того  щоб  перевірити,  чи  відповідають  операції  по  проведенню </w:t>
      </w:r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взаємозаліків по </w:t>
      </w:r>
      <w:proofErr w:type="spellStart"/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>платежах</w:t>
      </w:r>
      <w:proofErr w:type="spellEnd"/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 xml:space="preserve">,  які увійшли до системи,  правилам цієї </w:t>
      </w:r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>системи і дозволяють відбутися розрахункам такої системи.</w:t>
      </w:r>
    </w:p>
    <w:p w:rsidR="0016080C" w:rsidRPr="0016080C" w:rsidRDefault="0016080C" w:rsidP="001608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22" w:name="o24"/>
      <w:bookmarkEnd w:id="22"/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 xml:space="preserve">     (13) Оскільки  ніщо  у  цій Директиві не повинно перешкоджати </w:t>
      </w:r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учаснику  або  третій  стороні  здійснювати  будь-яке  право   або </w:t>
      </w:r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претензію,  які виникли в результаті здійснення даної операції,  і </w:t>
      </w:r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які вони можуть мати відповідно до  законодавства,  що  стосується </w:t>
      </w:r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поновлення  або  реституції  стосовно  платіжного  доручення,  яке </w:t>
      </w:r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увійшло до системи,  наприклад, у випадку шахрайства або технічної </w:t>
      </w:r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помилки, так як це не призводить ні до скасування взаємозаліків по </w:t>
      </w:r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</w:r>
      <w:proofErr w:type="spellStart"/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>платежах</w:t>
      </w:r>
      <w:proofErr w:type="spellEnd"/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>, ні до скасування платіжного доручення в рамках системи;</w:t>
      </w:r>
    </w:p>
    <w:p w:rsidR="0016080C" w:rsidRPr="0016080C" w:rsidRDefault="0016080C" w:rsidP="001608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23" w:name="o25"/>
      <w:bookmarkEnd w:id="23"/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 xml:space="preserve">     (14) Оскільки  необхідно забезпечити,  щоб платіжне доручення </w:t>
      </w:r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не могло бути скасованим  після  настання  моменту,  передбаченого </w:t>
      </w:r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>правилами системи;</w:t>
      </w:r>
    </w:p>
    <w:p w:rsidR="0016080C" w:rsidRPr="0016080C" w:rsidRDefault="0016080C" w:rsidP="001608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24" w:name="o26"/>
      <w:bookmarkEnd w:id="24"/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 xml:space="preserve">     (15) Оскільки  необхідно  забезпечити  негайне   повідомлення </w:t>
      </w:r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країною-членом   ЄС   інших   країн-членів  про  початок  процедур </w:t>
      </w:r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>банкрутства стосовно учасника системи;</w:t>
      </w:r>
    </w:p>
    <w:p w:rsidR="0016080C" w:rsidRPr="0016080C" w:rsidRDefault="0016080C" w:rsidP="001608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25" w:name="o27"/>
      <w:bookmarkEnd w:id="25"/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 xml:space="preserve">     (16) Оскільки процедури банкрутства не повинні мати зворотної </w:t>
      </w:r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>дії щодо прав і обов'язків учасників системи;</w:t>
      </w:r>
    </w:p>
    <w:p w:rsidR="0016080C" w:rsidRPr="0016080C" w:rsidRDefault="0016080C" w:rsidP="001608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26" w:name="o28"/>
      <w:bookmarkEnd w:id="26"/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 xml:space="preserve">     (17) Оскільки,  у разі порушення справи про банкрутство проти </w:t>
      </w:r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учасника системи,  ця Директива надалі  спрямована  на  визначення </w:t>
      </w:r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законодавства  про  банкрутство,  згідно якого будуть регулюватися </w:t>
      </w:r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права та обов'язки такого учасника  у  зв'язку  з  його  участю  в </w:t>
      </w:r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>системі;</w:t>
      </w:r>
    </w:p>
    <w:p w:rsidR="0016080C" w:rsidRPr="0016080C" w:rsidRDefault="0016080C" w:rsidP="001608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27" w:name="o29"/>
      <w:bookmarkEnd w:id="27"/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 xml:space="preserve">     (18) Оскільки майнове забезпечення не повинно  підпадати  під </w:t>
      </w:r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дію   законодавства   про   банкрутство,   яке  застосовуються  до </w:t>
      </w:r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>неплатоспроможного учасника;</w:t>
      </w:r>
    </w:p>
    <w:p w:rsidR="0016080C" w:rsidRPr="0016080C" w:rsidRDefault="0016080C" w:rsidP="001608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28" w:name="o30"/>
      <w:bookmarkEnd w:id="28"/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 xml:space="preserve">     (19) Оскільки  положення Статті 9 (2) повинні застосовуватися </w:t>
      </w:r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до реєстру,  рахунка або централізованої депозитної  системи,  яка </w:t>
      </w:r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засвідчує  існування  майнових прав на відповідні цінні папери або </w:t>
      </w:r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>вручення чи передачу таких цінних паперів;</w:t>
      </w:r>
    </w:p>
    <w:p w:rsidR="0016080C" w:rsidRPr="0016080C" w:rsidRDefault="0016080C" w:rsidP="001608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29" w:name="o31"/>
      <w:bookmarkEnd w:id="29"/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 xml:space="preserve">     (20) Оскільки   положення   Статті   9   (2)   спрямовані  на </w:t>
      </w:r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забезпечення того,  щоб у разі,  коли  учасник,  Центральний  Банк </w:t>
      </w:r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країни-члена  ЄС або майбутній Європейський центральний банк мають </w:t>
      </w:r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дійсне  і  чинне   майнове   забезпечення   у   відповідності   із </w:t>
      </w:r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законодавством країни-члена  ЄС,  в  якій  знаходиться відповідний </w:t>
      </w:r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реєстр,  рахунок або централізована депозитна система, дійсність і </w:t>
      </w:r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</w:r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lastRenderedPageBreak/>
        <w:t xml:space="preserve">можливість  примусової реалізації такого майнового забезпечення як </w:t>
      </w:r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по відношенню такої  системи  (так  і  її  оператора),  так  і  по </w:t>
      </w:r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відношенню будь-якої іншої особи,  яка має прямі чи опосередковані </w:t>
      </w:r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вимоги  в  межах  цієї  системи,  повинні   визначатися   виключно </w:t>
      </w:r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>законодавством такої країни-члена ЄС;</w:t>
      </w:r>
    </w:p>
    <w:p w:rsidR="0016080C" w:rsidRPr="0016080C" w:rsidRDefault="0016080C" w:rsidP="001608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30" w:name="o32"/>
      <w:bookmarkEnd w:id="30"/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 xml:space="preserve">     (21) Оскільки положення Статті 9  (2)  не  ставлять  за  мету </w:t>
      </w:r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перешкоджати дії та чинності законодавства країни-члена ЄС, згідно </w:t>
      </w:r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з  яким  цінні  папери  були  введені  в  дію,  або  законодавства </w:t>
      </w:r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країни-члена   ЄС,   в   якій  цінні  папери  можуть  іншим  чином </w:t>
      </w:r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знаходитися  (включаючи  законодавство,  яке  регулює  випуск   чи </w:t>
      </w:r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передачу  цінних паперів,  володіння цінними паперами або передачу </w:t>
      </w:r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прав на такі цінні папери,  але не обмежуючись  лише  цим),  і  не </w:t>
      </w:r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повинні   тлумачитися   як  такі,  згідно  яких  будь-яке  майнове </w:t>
      </w:r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забезпечення буде примусово виконане або визнане в будь-якій такій </w:t>
      </w:r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країні-члені ЄС ніяким іншим чином, ніж згідно законодавства такої </w:t>
      </w:r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>країни-члена ЄС;</w:t>
      </w:r>
    </w:p>
    <w:p w:rsidR="0016080C" w:rsidRPr="0016080C" w:rsidRDefault="0016080C" w:rsidP="001608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31" w:name="o33"/>
      <w:bookmarkEnd w:id="31"/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 xml:space="preserve">     (22) Оскільки бажано, щоб країни-члени ЄС доклали зусиль щодо </w:t>
      </w:r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встановлення достатніх </w:t>
      </w:r>
      <w:proofErr w:type="spellStart"/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>зв'язків</w:t>
      </w:r>
      <w:proofErr w:type="spellEnd"/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 xml:space="preserve"> між всіма системами розрахунків по </w:t>
      </w:r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цінних  паперах,  які  підпадають під дію цієї Директиви,  з метою </w:t>
      </w:r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забезпечення максимальної прозорості та правової визначеності щодо </w:t>
      </w:r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>операцій та угод, пов'язаних з цінними паперами;</w:t>
      </w:r>
    </w:p>
    <w:p w:rsidR="0016080C" w:rsidRPr="0016080C" w:rsidRDefault="0016080C" w:rsidP="001608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32" w:name="o34"/>
      <w:bookmarkEnd w:id="32"/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 xml:space="preserve">     (23) Оскільки прийняття  цієї  Директиви  становить  найбільш </w:t>
      </w:r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прийнятний  шлях  реалізації  вищенаведених цілей і не виходить за </w:t>
      </w:r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>межі того, що необхідно для їх досягнення,</w:t>
      </w:r>
    </w:p>
    <w:p w:rsidR="0016080C" w:rsidRPr="0016080C" w:rsidRDefault="0016080C" w:rsidP="001608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33" w:name="o35"/>
      <w:bookmarkEnd w:id="33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    ПРИЙНЯЛИ ЦЮ ДИРЕКТИВУ: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</w:r>
    </w:p>
    <w:p w:rsidR="0016080C" w:rsidRPr="0016080C" w:rsidRDefault="0016080C" w:rsidP="001608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34" w:name="o36"/>
      <w:bookmarkEnd w:id="34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                            </w:t>
      </w:r>
      <w:r w:rsidRPr="0016080C">
        <w:rPr>
          <w:rFonts w:ascii="Consolas" w:eastAsia="Times New Roman" w:hAnsi="Consolas" w:cs="Courier New"/>
          <w:b/>
          <w:bCs/>
          <w:color w:val="292B2C"/>
          <w:sz w:val="26"/>
          <w:szCs w:val="26"/>
          <w:lang w:eastAsia="uk-UA"/>
        </w:rPr>
        <w:t>Розділ I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</w:r>
    </w:p>
    <w:p w:rsidR="0016080C" w:rsidRPr="0016080C" w:rsidRDefault="0016080C" w:rsidP="001608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35" w:name="o37"/>
      <w:bookmarkEnd w:id="35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                    Сфера дії та визначення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</w:r>
    </w:p>
    <w:p w:rsidR="0016080C" w:rsidRPr="0016080C" w:rsidRDefault="0016080C" w:rsidP="001608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36" w:name="o38"/>
      <w:bookmarkEnd w:id="36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                            </w:t>
      </w:r>
      <w:r w:rsidRPr="0016080C">
        <w:rPr>
          <w:rFonts w:ascii="Consolas" w:eastAsia="Times New Roman" w:hAnsi="Consolas" w:cs="Courier New"/>
          <w:b/>
          <w:bCs/>
          <w:color w:val="292B2C"/>
          <w:sz w:val="26"/>
          <w:szCs w:val="26"/>
          <w:lang w:eastAsia="uk-UA"/>
        </w:rPr>
        <w:t>Стаття 1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</w:r>
    </w:p>
    <w:p w:rsidR="0016080C" w:rsidRPr="0016080C" w:rsidRDefault="0016080C" w:rsidP="001608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37" w:name="o39"/>
      <w:bookmarkEnd w:id="37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    Положення цієї Директиви застосовуються до:</w:t>
      </w:r>
    </w:p>
    <w:p w:rsidR="0016080C" w:rsidRPr="0016080C" w:rsidRDefault="0016080C" w:rsidP="001608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38" w:name="o40"/>
      <w:bookmarkEnd w:id="38"/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 xml:space="preserve">     (а) будь-якої  системи,  визначеної  в  Статті  2  (a),   яка </w:t>
      </w:r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регулюється   законодавством   країни-члена   ЄС  та  яка  діє  із </w:t>
      </w:r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застосуванням будь-якої валюти,  ЕКЮ або інших валют,  які система </w:t>
      </w:r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>конвертує одні в інші;</w:t>
      </w:r>
    </w:p>
    <w:p w:rsidR="0016080C" w:rsidRPr="0016080C" w:rsidRDefault="0016080C" w:rsidP="001608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39" w:name="o41"/>
      <w:bookmarkEnd w:id="39"/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 xml:space="preserve">     (б) будь-якого учасника такої системи;</w:t>
      </w:r>
    </w:p>
    <w:p w:rsidR="0016080C" w:rsidRPr="0016080C" w:rsidRDefault="0016080C" w:rsidP="001608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40" w:name="o42"/>
      <w:bookmarkEnd w:id="40"/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 xml:space="preserve">     (в) майнового забезпечення, що надається у зв'язку з </w:t>
      </w:r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         - участю в системі або </w:t>
      </w:r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         - операціями  центральних  банків  країн-членів ЄС в ході </w:t>
      </w:r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виконання ними функцій центральних банків. </w:t>
      </w:r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</w:r>
    </w:p>
    <w:p w:rsidR="0016080C" w:rsidRPr="0016080C" w:rsidRDefault="0016080C" w:rsidP="001608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41" w:name="o43"/>
      <w:bookmarkEnd w:id="41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                            </w:t>
      </w:r>
      <w:r w:rsidRPr="0016080C">
        <w:rPr>
          <w:rFonts w:ascii="Consolas" w:eastAsia="Times New Roman" w:hAnsi="Consolas" w:cs="Courier New"/>
          <w:b/>
          <w:bCs/>
          <w:color w:val="292B2C"/>
          <w:sz w:val="26"/>
          <w:szCs w:val="26"/>
          <w:lang w:eastAsia="uk-UA"/>
        </w:rPr>
        <w:t>Стаття 2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</w:r>
    </w:p>
    <w:p w:rsidR="0016080C" w:rsidRPr="0016080C" w:rsidRDefault="0016080C" w:rsidP="001608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42" w:name="o44"/>
      <w:bookmarkEnd w:id="42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    Для цілей цієї Директиви:</w:t>
      </w:r>
    </w:p>
    <w:p w:rsidR="0016080C" w:rsidRPr="0016080C" w:rsidRDefault="0016080C" w:rsidP="001608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43" w:name="o45"/>
      <w:bookmarkEnd w:id="43"/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 xml:space="preserve">     (a) "система" означає формальну угоду: </w:t>
      </w:r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         - між трьома і більше  учасниками,  не  рахуючи  можливої </w:t>
      </w:r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участі  </w:t>
      </w:r>
      <w:proofErr w:type="spellStart"/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>агента</w:t>
      </w:r>
      <w:proofErr w:type="spellEnd"/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 xml:space="preserve">  з  питань  розрахунків,  центрального контрагента, </w:t>
      </w:r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</w:r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lastRenderedPageBreak/>
        <w:t xml:space="preserve">клірингового центру  або  непрямого  учасника,  яка  має  загальні </w:t>
      </w:r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правила  та стандартизовані угоди для виконання платіжних доручень </w:t>
      </w:r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між учасниками; </w:t>
      </w:r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         - яка     регулюється    обраним    учасниками    системи </w:t>
      </w:r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законодавством країни-члена ЄС,  проте  учасники  можуть  вибирати </w:t>
      </w:r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тільки  законодавство  країни-члена  ЄС,  де  знаходиться керівний </w:t>
      </w:r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орган, принаймні, одного із учасників; та </w:t>
      </w:r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         - яка   називається   (без   шкоди  іншим  більш  строгим </w:t>
      </w:r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загальним  умовам,  які  визначені  національним   законодавством) </w:t>
      </w:r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системою,  і  про  яку  Комісія  повідомляється країною-членом ЄС, </w:t>
      </w:r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законодавство якої застосовується, після того, як така країна-член </w:t>
      </w:r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>ЄС переконається в адекватності та відповідності правил системи.</w:t>
      </w:r>
    </w:p>
    <w:p w:rsidR="0016080C" w:rsidRPr="0016080C" w:rsidRDefault="0016080C" w:rsidP="001608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44" w:name="o46"/>
      <w:bookmarkEnd w:id="44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    За умови дотримання вимог,  викладених в  першому  підпункті,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країна-член  ЄС може обрати в якості системи таку формальну угоду,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реалізація  якої  полягає  у  виконанні  платіжних  доручень,   як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визначено   в   другому   параграфі  пункту  (з),  і  згідно  якої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виконується лише обмежений обсяг  доручень,  пов'язаних  з  іншими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фінансовими інструментами,  у  випадку,  якщо  така країна-член ЄС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>вважає, що такий вибір є виправданим в силу системного ризику.</w:t>
      </w:r>
    </w:p>
    <w:p w:rsidR="0016080C" w:rsidRPr="0016080C" w:rsidRDefault="0016080C" w:rsidP="001608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45" w:name="o47"/>
      <w:bookmarkEnd w:id="45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    Країна-член ЄС  може також в індивідуальному порядку обрати в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якості системи таку  формальну  угоду  між  двома  учасниками,  не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рахуючи можливої участі </w:t>
      </w:r>
      <w:proofErr w:type="spellStart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агента</w:t>
      </w:r>
      <w:proofErr w:type="spellEnd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з питань розрахунків,  центрального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контрагента,  клірингового центру або непрямого учасника,  у разі,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коли ця  країна-член  ЄС  вважає  цей  вибір  виправданим  в  силу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>системного ризику;</w:t>
      </w:r>
    </w:p>
    <w:p w:rsidR="0016080C" w:rsidRPr="0016080C" w:rsidRDefault="0016080C" w:rsidP="001608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46" w:name="o48"/>
      <w:bookmarkEnd w:id="46"/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 xml:space="preserve">     (b) під поняттям "установа" розуміють наступне: </w:t>
      </w:r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         - кредитну установу,  визначення якої дається  в  першому </w:t>
      </w:r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підпункті Статті   1   Директиви  77/780/ЄЕС  (  </w:t>
      </w:r>
      <w:hyperlink r:id="rId5" w:tgtFrame="_blank" w:history="1">
        <w:r w:rsidRPr="0016080C">
          <w:rPr>
            <w:rFonts w:ascii="Consolas" w:eastAsia="Times New Roman" w:hAnsi="Consolas" w:cs="Courier New"/>
            <w:i/>
            <w:iCs/>
            <w:color w:val="0000FF"/>
            <w:sz w:val="26"/>
            <w:szCs w:val="26"/>
            <w:u w:val="single"/>
            <w:lang w:eastAsia="uk-UA"/>
          </w:rPr>
          <w:t>994_297</w:t>
        </w:r>
      </w:hyperlink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 xml:space="preserve">  )  (5)1, </w:t>
      </w:r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включаючи установи,  що перелічені в Статті 2 (2) цієї Директиви2, </w:t>
      </w:r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чи </w:t>
      </w:r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         - інвестиційну  фірму,  як  визначено в пункті 2 Статті 1 </w:t>
      </w:r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Директиви 93/22/ЄЕС   (  </w:t>
      </w:r>
      <w:hyperlink r:id="rId6" w:tgtFrame="_blank" w:history="1">
        <w:r w:rsidRPr="0016080C">
          <w:rPr>
            <w:rFonts w:ascii="Consolas" w:eastAsia="Times New Roman" w:hAnsi="Consolas" w:cs="Courier New"/>
            <w:i/>
            <w:iCs/>
            <w:color w:val="0000FF"/>
            <w:sz w:val="26"/>
            <w:szCs w:val="26"/>
            <w:u w:val="single"/>
            <w:lang w:eastAsia="uk-UA"/>
          </w:rPr>
          <w:t>994_187</w:t>
        </w:r>
      </w:hyperlink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 xml:space="preserve">  )  (6)3,  за  винятком  установ, </w:t>
      </w:r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перелічених в Статті 2 (2) (a) - (k) цієї Директиви4, або </w:t>
      </w:r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         - державні   органи   або   підприємства   з   державними </w:t>
      </w:r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гарантіями, або </w:t>
      </w:r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         - будь-яке    підприємство,    керівний    орган    якого </w:t>
      </w:r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розташований  за  межами Співтовариства і чиї функції відповідають </w:t>
      </w:r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функціям кредитних установ або інвестиційних фірм  Співтовариства, </w:t>
      </w:r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як  визначено  в  першому  і  другому  підпунктах  (абзацах) цього </w:t>
      </w:r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пункту,  яке бере участь в системі,  і яке відповідає за виконання </w:t>
      </w:r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фінансових   зобов'язань,  що  виникають  в  зв'язку  з  платіжним </w:t>
      </w:r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>дорученням в рамках цієї системи.</w:t>
      </w:r>
    </w:p>
    <w:p w:rsidR="0016080C" w:rsidRPr="0016080C" w:rsidRDefault="0016080C" w:rsidP="001608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47" w:name="o49"/>
      <w:bookmarkEnd w:id="47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_______________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     (5) Перша  Директива  Ради  77/780/ЄЕС від 12 грудня 1977 про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узгодження  законів,   нормативних   актів   та   адміністративних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положень,  що  відносяться  до  створення та здійснення діяльності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кредитними установами ( </w:t>
      </w:r>
      <w:hyperlink r:id="rId7" w:tgtFrame="_blank" w:history="1">
        <w:r w:rsidRPr="0016080C">
          <w:rPr>
            <w:rFonts w:ascii="Consolas" w:eastAsia="Times New Roman" w:hAnsi="Consolas" w:cs="Courier New"/>
            <w:color w:val="0000FF"/>
            <w:sz w:val="26"/>
            <w:szCs w:val="26"/>
            <w:u w:val="single"/>
            <w:lang w:eastAsia="uk-UA"/>
          </w:rPr>
          <w:t>994_297</w:t>
        </w:r>
      </w:hyperlink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) (Офіційний журнал  (OJ)  L  322,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17.12.77,  p.  30).  Директива  із  змінами  згідно  з  Директивою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>96/13/ЄС (Офіційний журнал (OJ) L 66, 16.03.96, p. 15).</w:t>
      </w:r>
    </w:p>
    <w:p w:rsidR="0016080C" w:rsidRPr="0016080C" w:rsidRDefault="0016080C" w:rsidP="001608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48" w:name="o50"/>
      <w:bookmarkEnd w:id="48"/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lastRenderedPageBreak/>
        <w:t xml:space="preserve">     (6) Директива Ради 93/22/ЄЕС від  10  травня  1993  року  про </w:t>
      </w:r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послуги з  інвестицій  у  галузі  цінних  паперів  (   </w:t>
      </w:r>
      <w:hyperlink r:id="rId8" w:tgtFrame="_blank" w:history="1">
        <w:r w:rsidRPr="0016080C">
          <w:rPr>
            <w:rFonts w:ascii="Consolas" w:eastAsia="Times New Roman" w:hAnsi="Consolas" w:cs="Courier New"/>
            <w:i/>
            <w:iCs/>
            <w:color w:val="0000FF"/>
            <w:sz w:val="26"/>
            <w:szCs w:val="26"/>
            <w:u w:val="single"/>
            <w:lang w:eastAsia="uk-UA"/>
          </w:rPr>
          <w:t>994_187</w:t>
        </w:r>
      </w:hyperlink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 xml:space="preserve">   ) </w:t>
      </w:r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(Офіційний  журнал  (OJ) L 141,  11.06.93,  p.  27).  Директива із </w:t>
      </w:r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змінами згідно з Директивою 97/9/ЄС (Офіційний журнал (OJ)  L  84, </w:t>
      </w:r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26.03.97, p. 22). </w:t>
      </w:r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</w:r>
    </w:p>
    <w:p w:rsidR="0016080C" w:rsidRPr="0016080C" w:rsidRDefault="0016080C" w:rsidP="001608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49" w:name="o51"/>
      <w:bookmarkEnd w:id="49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_______________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     1 Кредитна установа визначається в першому підпункті Статті 1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Директиви 77/780/ЄЕС ( </w:t>
      </w:r>
      <w:hyperlink r:id="rId9" w:tgtFrame="_blank" w:history="1">
        <w:r w:rsidRPr="0016080C">
          <w:rPr>
            <w:rFonts w:ascii="Consolas" w:eastAsia="Times New Roman" w:hAnsi="Consolas" w:cs="Courier New"/>
            <w:color w:val="0000FF"/>
            <w:sz w:val="26"/>
            <w:szCs w:val="26"/>
            <w:u w:val="single"/>
            <w:lang w:eastAsia="uk-UA"/>
          </w:rPr>
          <w:t>994_297</w:t>
        </w:r>
      </w:hyperlink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) як компанія,  що приймає депозити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або інші поворотні фонди у населення  та  надає  кредити  за  свій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>рахунок (неофіційний переклад UEPLAC).</w:t>
      </w:r>
    </w:p>
    <w:p w:rsidR="0016080C" w:rsidRPr="0016080C" w:rsidRDefault="0016080C" w:rsidP="001608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50" w:name="o52"/>
      <w:bookmarkEnd w:id="50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    2 Тобто:  центральні банки Держав-членів,  поштові відділення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>установ,   в   Бельгії   -   "</w:t>
      </w:r>
      <w:proofErr w:type="spellStart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Institut</w:t>
      </w:r>
      <w:proofErr w:type="spellEnd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  </w:t>
      </w:r>
      <w:proofErr w:type="spellStart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de</w:t>
      </w:r>
      <w:proofErr w:type="spellEnd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  </w:t>
      </w:r>
      <w:proofErr w:type="spellStart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Reescompte</w:t>
      </w:r>
      <w:proofErr w:type="spellEnd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  </w:t>
      </w:r>
      <w:proofErr w:type="spellStart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et</w:t>
      </w:r>
      <w:proofErr w:type="spellEnd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  </w:t>
      </w:r>
      <w:proofErr w:type="spellStart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de</w:t>
      </w:r>
      <w:proofErr w:type="spellEnd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</w:r>
      <w:proofErr w:type="spellStart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Garantie</w:t>
      </w:r>
      <w:proofErr w:type="spellEnd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/</w:t>
      </w:r>
      <w:proofErr w:type="spellStart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Her-discontering</w:t>
      </w:r>
      <w:proofErr w:type="spellEnd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</w:t>
      </w:r>
      <w:proofErr w:type="spellStart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en</w:t>
      </w:r>
      <w:proofErr w:type="spellEnd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</w:t>
      </w:r>
      <w:proofErr w:type="spellStart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Waarborgisntituut</w:t>
      </w:r>
      <w:proofErr w:type="spellEnd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",  в Данії - "</w:t>
      </w:r>
      <w:proofErr w:type="spellStart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Dansk</w:t>
      </w:r>
      <w:proofErr w:type="spellEnd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</w:r>
      <w:proofErr w:type="spellStart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Eksportfinansieringsford</w:t>
      </w:r>
      <w:proofErr w:type="spellEnd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",   "</w:t>
      </w:r>
      <w:proofErr w:type="spellStart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Danmarks</w:t>
      </w:r>
      <w:proofErr w:type="spellEnd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  </w:t>
      </w:r>
      <w:proofErr w:type="spellStart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Skibskreditfond</w:t>
      </w:r>
      <w:proofErr w:type="spellEnd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",  "</w:t>
      </w:r>
      <w:proofErr w:type="spellStart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Dansk</w:t>
      </w:r>
      <w:proofErr w:type="spellEnd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</w:r>
      <w:proofErr w:type="spellStart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Landbrungs</w:t>
      </w:r>
      <w:proofErr w:type="spellEnd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</w:t>
      </w:r>
      <w:proofErr w:type="spellStart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Realkreditfond</w:t>
      </w:r>
      <w:proofErr w:type="spellEnd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",  в  Німеччині  -  "</w:t>
      </w:r>
      <w:proofErr w:type="spellStart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Kreditanstalt</w:t>
      </w:r>
      <w:proofErr w:type="spellEnd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 </w:t>
      </w:r>
      <w:proofErr w:type="spellStart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fuer</w:t>
      </w:r>
      <w:proofErr w:type="spellEnd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</w:r>
      <w:proofErr w:type="spellStart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Wiederaufbau</w:t>
      </w:r>
      <w:proofErr w:type="spellEnd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",  компанії  "</w:t>
      </w:r>
      <w:proofErr w:type="spellStart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Wohnungsgemeinnuetzigkeitsgesetz</w:t>
      </w:r>
      <w:proofErr w:type="spellEnd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",  які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визнані органами державної політики будування  житла  і,  головним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чином,  не є залучені до банківських операцій та підприємства,  що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цей закон визначає,  як неприбуткові підприємства галузі будування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>житла,  в  Греції  -  "</w:t>
      </w:r>
      <w:proofErr w:type="spellStart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Elliniki</w:t>
      </w:r>
      <w:proofErr w:type="spellEnd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</w:t>
      </w:r>
      <w:proofErr w:type="spellStart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Trapeza</w:t>
      </w:r>
      <w:proofErr w:type="spellEnd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</w:t>
      </w:r>
      <w:proofErr w:type="spellStart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Viomichanikis</w:t>
      </w:r>
      <w:proofErr w:type="spellEnd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</w:t>
      </w:r>
      <w:proofErr w:type="spellStart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Anaptyxeos</w:t>
      </w:r>
      <w:proofErr w:type="spellEnd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",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>"</w:t>
      </w:r>
      <w:proofErr w:type="spellStart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Tamelo</w:t>
      </w:r>
      <w:proofErr w:type="spellEnd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</w:t>
      </w:r>
      <w:proofErr w:type="spellStart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Parakatathikon</w:t>
      </w:r>
      <w:proofErr w:type="spellEnd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</w:t>
      </w:r>
      <w:proofErr w:type="spellStart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kai</w:t>
      </w:r>
      <w:proofErr w:type="spellEnd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</w:t>
      </w:r>
      <w:proofErr w:type="spellStart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Danion</w:t>
      </w:r>
      <w:proofErr w:type="spellEnd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",  "</w:t>
      </w:r>
      <w:proofErr w:type="spellStart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Tahidromiko</w:t>
      </w:r>
      <w:proofErr w:type="spellEnd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</w:t>
      </w:r>
      <w:proofErr w:type="spellStart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Tamieftirio</w:t>
      </w:r>
      <w:proofErr w:type="spellEnd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",  в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>Іспанії - "</w:t>
      </w:r>
      <w:proofErr w:type="spellStart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Instituto</w:t>
      </w:r>
      <w:proofErr w:type="spellEnd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</w:t>
      </w:r>
      <w:proofErr w:type="spellStart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de</w:t>
      </w:r>
      <w:proofErr w:type="spellEnd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</w:t>
      </w:r>
      <w:proofErr w:type="spellStart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Credito</w:t>
      </w:r>
      <w:proofErr w:type="spellEnd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</w:t>
      </w:r>
      <w:proofErr w:type="spellStart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Oficial</w:t>
      </w:r>
      <w:proofErr w:type="spellEnd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",  у Франції - "</w:t>
      </w:r>
      <w:proofErr w:type="spellStart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Caisse</w:t>
      </w:r>
      <w:proofErr w:type="spellEnd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</w:t>
      </w:r>
      <w:proofErr w:type="spellStart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des</w:t>
      </w:r>
      <w:proofErr w:type="spellEnd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</w:r>
      <w:proofErr w:type="spellStart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Depot</w:t>
      </w:r>
      <w:proofErr w:type="spellEnd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 </w:t>
      </w:r>
      <w:proofErr w:type="spellStart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et</w:t>
      </w:r>
      <w:proofErr w:type="spellEnd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 </w:t>
      </w:r>
      <w:proofErr w:type="spellStart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Consignations</w:t>
      </w:r>
      <w:proofErr w:type="spellEnd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",  в  Ірландії  -   кредитні   союзи   та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>Співтовариства взаємного страхування, в Італії - "</w:t>
      </w:r>
      <w:proofErr w:type="spellStart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Cassa</w:t>
      </w:r>
      <w:proofErr w:type="spellEnd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</w:t>
      </w:r>
      <w:proofErr w:type="spellStart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Depositi</w:t>
      </w:r>
      <w:proofErr w:type="spellEnd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e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</w:r>
      <w:proofErr w:type="spellStart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Prestiti</w:t>
      </w:r>
      <w:proofErr w:type="spellEnd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",     в      Нідерландах      -      "NV      </w:t>
      </w:r>
      <w:proofErr w:type="spellStart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Noordelijke</w:t>
      </w:r>
      <w:proofErr w:type="spellEnd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</w:r>
      <w:proofErr w:type="spellStart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Ontwikkelingsmaatschappij</w:t>
      </w:r>
      <w:proofErr w:type="spellEnd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",  "NV  </w:t>
      </w:r>
      <w:proofErr w:type="spellStart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Industriebank</w:t>
      </w:r>
      <w:proofErr w:type="spellEnd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 </w:t>
      </w:r>
      <w:proofErr w:type="spellStart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Limmurgs</w:t>
      </w:r>
      <w:proofErr w:type="spellEnd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</w:t>
      </w:r>
      <w:proofErr w:type="spellStart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Instiuut</w:t>
      </w:r>
      <w:proofErr w:type="spellEnd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</w:r>
      <w:proofErr w:type="spellStart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voor</w:t>
      </w:r>
      <w:proofErr w:type="spellEnd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    </w:t>
      </w:r>
      <w:proofErr w:type="spellStart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Ontwikkeling</w:t>
      </w:r>
      <w:proofErr w:type="spellEnd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    </w:t>
      </w:r>
      <w:proofErr w:type="spellStart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en</w:t>
      </w:r>
      <w:proofErr w:type="spellEnd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    </w:t>
      </w:r>
      <w:proofErr w:type="spellStart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Financiering</w:t>
      </w:r>
      <w:proofErr w:type="spellEnd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",      "</w:t>
      </w:r>
      <w:proofErr w:type="spellStart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Overijsselse</w:t>
      </w:r>
      <w:proofErr w:type="spellEnd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</w:r>
      <w:proofErr w:type="spellStart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Ontwikkelingsmaatschappij</w:t>
      </w:r>
      <w:proofErr w:type="spellEnd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  NV",  в  Австрії  -  підприємства,  що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визначаються як асоціації суспільного значення по будуванню житла,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>та  "</w:t>
      </w:r>
      <w:proofErr w:type="spellStart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Oestserreische</w:t>
      </w:r>
      <w:proofErr w:type="spellEnd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 </w:t>
      </w:r>
      <w:proofErr w:type="spellStart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Kontrollbank</w:t>
      </w:r>
      <w:proofErr w:type="spellEnd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 AG",  в  Португалії  -  "</w:t>
      </w:r>
      <w:proofErr w:type="spellStart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Caixas</w:t>
      </w:r>
      <w:proofErr w:type="spellEnd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</w:r>
      <w:proofErr w:type="spellStart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Economicas</w:t>
      </w:r>
      <w:proofErr w:type="spellEnd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", що існують з 1-го січня 1986 р., за винятком компаній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>з  обмеженою відповідальністю та "</w:t>
      </w:r>
      <w:proofErr w:type="spellStart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Caixa</w:t>
      </w:r>
      <w:proofErr w:type="spellEnd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</w:t>
      </w:r>
      <w:proofErr w:type="spellStart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Economica</w:t>
      </w:r>
      <w:proofErr w:type="spellEnd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</w:t>
      </w:r>
      <w:proofErr w:type="spellStart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Montepio</w:t>
      </w:r>
      <w:proofErr w:type="spellEnd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</w:t>
      </w:r>
      <w:proofErr w:type="spellStart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Geral</w:t>
      </w:r>
      <w:proofErr w:type="spellEnd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",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>в Фінляндії  -  "</w:t>
      </w:r>
      <w:proofErr w:type="spellStart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Teollisen</w:t>
      </w:r>
      <w:proofErr w:type="spellEnd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 </w:t>
      </w:r>
      <w:proofErr w:type="spellStart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Yhteistyoen</w:t>
      </w:r>
      <w:proofErr w:type="spellEnd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 </w:t>
      </w:r>
      <w:proofErr w:type="spellStart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Rahasto</w:t>
      </w:r>
      <w:proofErr w:type="spellEnd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 </w:t>
      </w:r>
      <w:proofErr w:type="spellStart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oy</w:t>
      </w:r>
      <w:proofErr w:type="spellEnd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/</w:t>
      </w:r>
      <w:proofErr w:type="spellStart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Fornden</w:t>
      </w:r>
      <w:proofErr w:type="spellEnd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 </w:t>
      </w:r>
      <w:proofErr w:type="spellStart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foer</w:t>
      </w:r>
      <w:proofErr w:type="spellEnd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</w:r>
      <w:proofErr w:type="spellStart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Industriellt</w:t>
      </w:r>
      <w:proofErr w:type="spellEnd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</w:t>
      </w:r>
      <w:proofErr w:type="spellStart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Samarbete</w:t>
      </w:r>
      <w:proofErr w:type="spellEnd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</w:t>
      </w:r>
      <w:proofErr w:type="spellStart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ab</w:t>
      </w:r>
      <w:proofErr w:type="spellEnd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", "</w:t>
      </w:r>
      <w:proofErr w:type="spellStart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Kere</w:t>
      </w:r>
      <w:proofErr w:type="spellEnd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</w:t>
      </w:r>
      <w:proofErr w:type="spellStart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oy</w:t>
      </w:r>
      <w:proofErr w:type="spellEnd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/</w:t>
      </w:r>
      <w:proofErr w:type="spellStart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Kera</w:t>
      </w:r>
      <w:proofErr w:type="spellEnd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</w:t>
      </w:r>
      <w:proofErr w:type="spellStart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ab</w:t>
      </w:r>
      <w:proofErr w:type="spellEnd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", в Швеції - "</w:t>
      </w:r>
      <w:proofErr w:type="spellStart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Svenska</w:t>
      </w:r>
      <w:proofErr w:type="spellEnd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</w:r>
      <w:proofErr w:type="spellStart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Skeppshypotekskassan</w:t>
      </w:r>
      <w:proofErr w:type="spellEnd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",  в  Сполученому  Королівстві  -   "</w:t>
      </w:r>
      <w:proofErr w:type="spellStart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National</w:t>
      </w:r>
      <w:proofErr w:type="spellEnd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</w:r>
      <w:proofErr w:type="spellStart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Savings</w:t>
      </w:r>
      <w:proofErr w:type="spellEnd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 </w:t>
      </w:r>
      <w:proofErr w:type="spellStart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Bank</w:t>
      </w:r>
      <w:proofErr w:type="spellEnd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",  "</w:t>
      </w:r>
      <w:proofErr w:type="spellStart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Commonwealth</w:t>
      </w:r>
      <w:proofErr w:type="spellEnd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 </w:t>
      </w:r>
      <w:proofErr w:type="spellStart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Development</w:t>
      </w:r>
      <w:proofErr w:type="spellEnd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 </w:t>
      </w:r>
      <w:proofErr w:type="spellStart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Finance</w:t>
      </w:r>
      <w:proofErr w:type="spellEnd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</w:t>
      </w:r>
      <w:proofErr w:type="spellStart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Company</w:t>
      </w:r>
      <w:proofErr w:type="spellEnd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</w:t>
      </w:r>
      <w:proofErr w:type="spellStart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Ltd</w:t>
      </w:r>
      <w:proofErr w:type="spellEnd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",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>"</w:t>
      </w:r>
      <w:proofErr w:type="spellStart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Agricultural</w:t>
      </w:r>
      <w:proofErr w:type="spellEnd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</w:t>
      </w:r>
      <w:proofErr w:type="spellStart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Mortgage</w:t>
      </w:r>
      <w:proofErr w:type="spellEnd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</w:t>
      </w:r>
      <w:proofErr w:type="spellStart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Corporation</w:t>
      </w:r>
      <w:proofErr w:type="spellEnd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 </w:t>
      </w:r>
      <w:proofErr w:type="spellStart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Ltd</w:t>
      </w:r>
      <w:proofErr w:type="spellEnd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",  "</w:t>
      </w:r>
      <w:proofErr w:type="spellStart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Scottish</w:t>
      </w:r>
      <w:proofErr w:type="spellEnd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 </w:t>
      </w:r>
      <w:proofErr w:type="spellStart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Agricultural</w:t>
      </w:r>
      <w:proofErr w:type="spellEnd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</w:r>
      <w:proofErr w:type="spellStart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Securities</w:t>
      </w:r>
      <w:proofErr w:type="spellEnd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  </w:t>
      </w:r>
      <w:proofErr w:type="spellStart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Corporation</w:t>
      </w:r>
      <w:proofErr w:type="spellEnd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  </w:t>
      </w:r>
      <w:proofErr w:type="spellStart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Ltd</w:t>
      </w:r>
      <w:proofErr w:type="spellEnd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",   "</w:t>
      </w:r>
      <w:proofErr w:type="spellStart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Crown</w:t>
      </w:r>
      <w:proofErr w:type="spellEnd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  </w:t>
      </w:r>
      <w:proofErr w:type="spellStart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Agents</w:t>
      </w:r>
      <w:proofErr w:type="spellEnd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  </w:t>
      </w:r>
      <w:proofErr w:type="spellStart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for</w:t>
      </w:r>
      <w:proofErr w:type="spellEnd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 </w:t>
      </w:r>
      <w:proofErr w:type="spellStart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Overseas</w:t>
      </w:r>
      <w:proofErr w:type="spellEnd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</w:r>
      <w:proofErr w:type="spellStart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Governments</w:t>
      </w:r>
      <w:proofErr w:type="spellEnd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</w:t>
      </w:r>
      <w:proofErr w:type="spellStart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and</w:t>
      </w:r>
      <w:proofErr w:type="spellEnd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</w:t>
      </w:r>
      <w:proofErr w:type="spellStart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Administrations</w:t>
      </w:r>
      <w:proofErr w:type="spellEnd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",  кредитні союзи та  муніципальні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>банки (неофіційний переклад UEPLAC).</w:t>
      </w:r>
    </w:p>
    <w:p w:rsidR="0016080C" w:rsidRPr="0016080C" w:rsidRDefault="0016080C" w:rsidP="001608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51" w:name="o53"/>
      <w:bookmarkEnd w:id="51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    3 Інвестиційна  фірма  визначається  в  пункті  2  Статті   1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Директиви 93/22/ЄЕС  (  </w:t>
      </w:r>
      <w:hyperlink r:id="rId10" w:tgtFrame="_blank" w:history="1">
        <w:r w:rsidRPr="0016080C">
          <w:rPr>
            <w:rFonts w:ascii="Consolas" w:eastAsia="Times New Roman" w:hAnsi="Consolas" w:cs="Courier New"/>
            <w:color w:val="0000FF"/>
            <w:sz w:val="26"/>
            <w:szCs w:val="26"/>
            <w:u w:val="single"/>
            <w:lang w:eastAsia="uk-UA"/>
          </w:rPr>
          <w:t>994_187</w:t>
        </w:r>
      </w:hyperlink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 )  як  будь-яка  юридична  особа,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постійна  діяльність   або   бізнес   якої   полягає   у   наданні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інвестиційних   послуг   третім  сторонам  на  професійній  основі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>(неофіційний переклад UEPLAC).</w:t>
      </w:r>
    </w:p>
    <w:p w:rsidR="0016080C" w:rsidRPr="0016080C" w:rsidRDefault="0016080C" w:rsidP="001608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52" w:name="o54"/>
      <w:bookmarkEnd w:id="52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    4 Тобто:   а)  страхові  підприємства  або  підприємства,  що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виконують діяльність з перестрахування та  </w:t>
      </w:r>
      <w:proofErr w:type="spellStart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ретроцесії</w:t>
      </w:r>
      <w:proofErr w:type="spellEnd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;  б)  фірми,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які  надають  інвестиційні  послуги  суто  для  своїх материнських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lastRenderedPageBreak/>
        <w:t xml:space="preserve">підприємств,  дочірніх підприємств або інших дочірніх  підприємств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своїх материнських підприємств;  в) особи, що надають інвестиційну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послугу у тих випадках, коли така послуга надається на одноразовій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основі   під   час   професійної   діяльності  й  така  діяльність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регулюється положеннями  закону  або  професійним  етичним  кодом,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котрі не виключають надання такої послуги; г) фірми, котрі надають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інвестиційні послуги,  які полягають  суто  в  управлінні  схемами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участі працівників;  д) фірм,  котрі надають інвестиційні послуги,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що складаються із забезпечення як тих послуг,  про які  йдеться  у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(б),  так  і  тих,  про  які  йдеться  у (г);  е) центральні банки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Держав-членів ЄС та  інших  національних  органів,  які  виконують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подібні   функції,  а  також  інших  громадських  органів,  котрим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доручено або котрі втручаються до керування громадським боргом; ж)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фірми,  котрі  не  можуть  володіти  фондами  або цінними паперами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клієнтів та котрим з цієї причини не  дозволено  у  будь-який  час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вступати  у дебіторські стосунки із своїми клієнтами,  а також ті,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що не можуть надавати жодної інвестиційної послуги, крім отримання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та  передачі  наказів  у  випадку  із  цінними паперами та одиниць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торгівлі у підприємствах  з  колективними  інвестиціями,  а  також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котрі  у  ході  надання  такої  послуги  можуть  передавати накази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інвестиційним фірмам та кредитним установам,  котрі  мають  на  це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повноваження,   відділенням   інвестиційних   фірм  або  кредитних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установ,  котрі отримали повноваження у третій  державі  та  котрі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підлягають   та   відповідають  правилам  нагляду,  що  вважаються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компетентними вповноваженими органами за як мінімум такі ж суворі,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як і ті,   що   викладено  у цій Директиві, у Директиві 89/646/ЄЕС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(  </w:t>
      </w:r>
      <w:hyperlink r:id="rId11" w:tgtFrame="_blank" w:history="1">
        <w:r w:rsidRPr="0016080C">
          <w:rPr>
            <w:rFonts w:ascii="Consolas" w:eastAsia="Times New Roman" w:hAnsi="Consolas" w:cs="Courier New"/>
            <w:color w:val="0000FF"/>
            <w:sz w:val="26"/>
            <w:szCs w:val="26"/>
            <w:u w:val="single"/>
            <w:lang w:eastAsia="uk-UA"/>
          </w:rPr>
          <w:t>994_353</w:t>
        </w:r>
      </w:hyperlink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 ) та у Директиві 93/6/ЄЕС ( </w:t>
      </w:r>
      <w:hyperlink r:id="rId12" w:tgtFrame="_blank" w:history="1">
        <w:r w:rsidRPr="0016080C">
          <w:rPr>
            <w:rFonts w:ascii="Consolas" w:eastAsia="Times New Roman" w:hAnsi="Consolas" w:cs="Courier New"/>
            <w:color w:val="0000FF"/>
            <w:sz w:val="26"/>
            <w:szCs w:val="26"/>
            <w:u w:val="single"/>
            <w:lang w:eastAsia="uk-UA"/>
          </w:rPr>
          <w:t>994_480</w:t>
        </w:r>
      </w:hyperlink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); підприємствам з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колективними  інвестиціями, котрі отримали повноваження відповідно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до  законодавства  Держави-члена  ЄС  про  продаж одиниць торгівлі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широким колам громадськості, а також керівникам таких підприємств;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інвестиційним  підприємствам  з  основним  капіталом, цінні папери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котрих  є  внесеними  до  переліку або вживаються на регульованому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ринку  в  одній з Держав-членів ЄС; та діяльність котрих керується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правилами   або   етичними   кодами  на  національному  рівні;  з)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колективних  інвестиційних  підприємств,  незалежно  від  того, чи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координуються   вони   на   рівні   співтовариства,   а  також  до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депозитаріїв  та  керівників  таких  підприємств;  і)  осіб,  чиїм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головним бізнесом є укладання угод на певні товари між собою або з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виробниками  чи  професійними користувачами такої продукції, котрі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надають   інвестиційні   послуги  суто  для  таких  виробників  та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професійних  користувачів  у  межах,  необхідних  для їх головного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бізнесу;   к)   фірм,  які  надають  інвестиційні  послуги,  котрі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полягають   суто   в   укладанні   угод   за   свій   рахунок   на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фінансово-ф'ючерсних чи опціонних ринках або, тих, котрі проводять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операції  за  рахунок інших членів тих ринків або установлюють для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них ціни та діяльність котрих гарантовано кліринговими членами тих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самих   ринків.   Відповідальність   за   забезпечення   виконання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контрактів,   укладених   такими  фірмами,  мають  взяти  на  себе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клірингові   члени   тих  самих  ринків;  л)  асоціації,  створені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lastRenderedPageBreak/>
        <w:t xml:space="preserve">Датськими  пенсійними  фондами  з  єдиною метою керування активами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пенсійних  фондів,  котрі  є  членами тих асоціацій; та нарешті м)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>"</w:t>
      </w:r>
      <w:proofErr w:type="spellStart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agenti</w:t>
      </w:r>
      <w:proofErr w:type="spellEnd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  di  </w:t>
      </w:r>
      <w:proofErr w:type="spellStart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cambio</w:t>
      </w:r>
      <w:proofErr w:type="spellEnd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",  діяльність  та  функції  котрих  керуються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Італійським  Королівським  Декретом N 222 від 7 березня 1925 р. та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доповненнями,  котрі  було  </w:t>
      </w:r>
      <w:proofErr w:type="spellStart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внесено</w:t>
      </w:r>
      <w:proofErr w:type="spellEnd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пізніше, що мають повноваження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виконувати  свою  діяльність  відповідно до Статті 19 італійського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>Закону N 1 від 2 січня 1991 року (неофіційний переклад UEPLAC).</w:t>
      </w:r>
    </w:p>
    <w:p w:rsidR="0016080C" w:rsidRPr="0016080C" w:rsidRDefault="0016080C" w:rsidP="001608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53" w:name="o55"/>
      <w:bookmarkEnd w:id="53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    Якщо система контролюється  у  відповідності  з  національним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законодавством і тільки виконує платіжне доручення, як визначено в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другому параграфі пункту (з),  а також платежі,  які випливають із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таких доручень,   країна-член   ЄС   може   прийняти  рішення,  що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підприємства,  які беруть участь у такій  системі,  і  які  несуть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відповідальність за виконання фінансових зобов'язань, що виникають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в зв'язку з платіжним дорученням в  рамках  цієї  системи,  можуть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вважатися установами,  за умови,  що не менш ніж три учасники цієї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системи   підпадають   під   категорії,   зазначені   в    першому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</w:r>
      <w:proofErr w:type="spellStart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підпараграфі</w:t>
      </w:r>
      <w:proofErr w:type="spellEnd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,  і  що  таке рішення є виправданим в силу системного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ризику;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</w:r>
    </w:p>
    <w:p w:rsidR="0016080C" w:rsidRPr="0016080C" w:rsidRDefault="0016080C" w:rsidP="001608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54" w:name="o56"/>
      <w:bookmarkEnd w:id="54"/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 xml:space="preserve">     (c) "центральний контрагент" означає  структуру,  яка  займає </w:t>
      </w:r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позицію  між установами системи,  і яка діє в якості ексклюзивного </w:t>
      </w:r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>контрагента цих установ відносно їхніх платіжних доручень;</w:t>
      </w:r>
    </w:p>
    <w:p w:rsidR="0016080C" w:rsidRPr="0016080C" w:rsidRDefault="0016080C" w:rsidP="001608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55" w:name="o57"/>
      <w:bookmarkEnd w:id="55"/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 xml:space="preserve">     (d) "агент  з  питань  розрахунків"  означає  структуру,  яка </w:t>
      </w:r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відкриває установам і/або  центральному  контрагенту,  які  беруть </w:t>
      </w:r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участь  в  системах,  розрахункові рахунки,  через які оплачуються </w:t>
      </w:r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платіжні доручення в рамках таких систем,  і яка в залежності  від </w:t>
      </w:r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обставин   надає   кредити   цим   установам   і/або  центральному </w:t>
      </w:r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>контрагенту для розрахунків;</w:t>
      </w:r>
    </w:p>
    <w:p w:rsidR="0016080C" w:rsidRPr="0016080C" w:rsidRDefault="0016080C" w:rsidP="001608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56" w:name="o58"/>
      <w:bookmarkEnd w:id="56"/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 xml:space="preserve">     (e) "кліринговий центр" означає установу, що є відповідальною </w:t>
      </w:r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за  підрахунок   </w:t>
      </w:r>
      <w:proofErr w:type="spellStart"/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>нетто</w:t>
      </w:r>
      <w:proofErr w:type="spellEnd"/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 xml:space="preserve">   (чистих)   позицій   установ,   можливого </w:t>
      </w:r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центрального контрагента і/або </w:t>
      </w:r>
      <w:proofErr w:type="spellStart"/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>агента</w:t>
      </w:r>
      <w:proofErr w:type="spellEnd"/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 xml:space="preserve"> з питань розрахунків;</w:t>
      </w:r>
    </w:p>
    <w:p w:rsidR="0016080C" w:rsidRPr="0016080C" w:rsidRDefault="0016080C" w:rsidP="001608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57" w:name="o59"/>
      <w:bookmarkEnd w:id="57"/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 xml:space="preserve">     (f) "учасник"  означає  установу,  центрального  контрагента, </w:t>
      </w:r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</w:r>
      <w:proofErr w:type="spellStart"/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>агента</w:t>
      </w:r>
      <w:proofErr w:type="spellEnd"/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 xml:space="preserve"> з питань розрахунків або кліринговий центр.</w:t>
      </w:r>
    </w:p>
    <w:p w:rsidR="0016080C" w:rsidRPr="0016080C" w:rsidRDefault="0016080C" w:rsidP="001608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58" w:name="o60"/>
      <w:bookmarkEnd w:id="58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    Згідно з правилами системи один  і  той  самий  учасник  може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діяти  як  центральний контрагент,  агент з питань розрахунків або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>кліринговий центр, або виконувати частину або всі ці функції.</w:t>
      </w:r>
    </w:p>
    <w:p w:rsidR="0016080C" w:rsidRPr="0016080C" w:rsidRDefault="0016080C" w:rsidP="001608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59" w:name="o61"/>
      <w:bookmarkEnd w:id="59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    Для цілей   цієї   Директиви  країна-член  ЄС  може  прийняти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рішення,  згідно з яким непрямий  учасник  може  вважатися  прямим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учасником  у разі,  якщо це виправдано в силу системного ризику та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>за умови, що непрямий учасник є відомим у системі;</w:t>
      </w:r>
    </w:p>
    <w:p w:rsidR="0016080C" w:rsidRPr="0016080C" w:rsidRDefault="0016080C" w:rsidP="001608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60" w:name="o62"/>
      <w:bookmarkEnd w:id="60"/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 xml:space="preserve">     (g) "непрямий учасник" означає кредитну установу, визначену в </w:t>
      </w:r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першому підпункті  пункту  (б),  яка  має  договірні  відносини  з </w:t>
      </w:r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установою,   що   бере  участь  у  системі  та  здійснює  платіжні </w:t>
      </w:r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доручення,  як зазначено в першому підпункті пункту  (з),  що  дає </w:t>
      </w:r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можливість  вищезгаданій  кредитній  установі  пропускати платіжні </w:t>
      </w:r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>доручення через систему;</w:t>
      </w:r>
    </w:p>
    <w:p w:rsidR="0016080C" w:rsidRPr="0016080C" w:rsidRDefault="0016080C" w:rsidP="001608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61" w:name="o63"/>
      <w:bookmarkEnd w:id="61"/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 xml:space="preserve">     (h) "цінні папери" означає всі інструменти,  що називаються в </w:t>
      </w:r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Розділі "B" Додатка до Директиви 93/22/ЄЕС5 ( </w:t>
      </w:r>
      <w:hyperlink r:id="rId13" w:tgtFrame="_blank" w:history="1">
        <w:r w:rsidRPr="0016080C">
          <w:rPr>
            <w:rFonts w:ascii="Consolas" w:eastAsia="Times New Roman" w:hAnsi="Consolas" w:cs="Courier New"/>
            <w:i/>
            <w:iCs/>
            <w:color w:val="0000FF"/>
            <w:sz w:val="26"/>
            <w:szCs w:val="26"/>
            <w:u w:val="single"/>
            <w:lang w:eastAsia="uk-UA"/>
          </w:rPr>
          <w:t>994_187</w:t>
        </w:r>
      </w:hyperlink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 xml:space="preserve"> );</w:t>
      </w:r>
    </w:p>
    <w:p w:rsidR="0016080C" w:rsidRPr="0016080C" w:rsidRDefault="0016080C" w:rsidP="001608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62" w:name="o64"/>
      <w:bookmarkEnd w:id="62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lastRenderedPageBreak/>
        <w:t xml:space="preserve">_______________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     5 Тобто:  1а) цінні папери,  що підлягають обігу; 1б) одиниці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торгів для підприємств з колективними інвестиціями; 2) інструменти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грошового  ринку;  3)  фінансові  ф'ючерсні  контракти,  включаючи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еквівалентні інструменти для готівкових розрахунків;  4) угоди про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майбутні процентні ставки;  5) процентні </w:t>
      </w:r>
      <w:proofErr w:type="spellStart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свопи</w:t>
      </w:r>
      <w:proofErr w:type="spellEnd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,  валютні </w:t>
      </w:r>
      <w:proofErr w:type="spellStart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свопи</w:t>
      </w:r>
      <w:proofErr w:type="spellEnd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 та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обмін  акцій;  та 6) опціонні угоди на придбання або розпорядження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будь-якими інструментами, що підпадають під цей перелік, включаючи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еквівалентні  інструменти для готівкових розрахунків (ця категорія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особливо  стосується  валютних  опціонів  та  процентних   ставок)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(неофіційний переклад UEPLAC).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</w:r>
    </w:p>
    <w:p w:rsidR="0016080C" w:rsidRPr="0016080C" w:rsidRDefault="0016080C" w:rsidP="001608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63" w:name="o65"/>
      <w:bookmarkEnd w:id="63"/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 xml:space="preserve">     (i) "платіжне доручення" означає: </w:t>
      </w:r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         - будь-яке розпорядження учасника надати у  розпорядження </w:t>
      </w:r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одержувача суму коштів шляхом проведення бухгалтерської проводки і </w:t>
      </w:r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переведення цієї суми на рахунки кредитної установи,  центрального </w:t>
      </w:r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банку або </w:t>
      </w:r>
      <w:proofErr w:type="spellStart"/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>агента</w:t>
      </w:r>
      <w:proofErr w:type="spellEnd"/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 xml:space="preserve"> з питань розрахунків, або будь-яке розпорядження, </w:t>
      </w:r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яке надається в результаті взяття або виконання  зобов'язання  про </w:t>
      </w:r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оплату відповідно до правил системи, або </w:t>
      </w:r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         - розпорядження  учасника  передати  право  власності  на </w:t>
      </w:r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цінний  папір  або  цінні папери,  чи передати право власності або </w:t>
      </w:r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право на розпорядження ними шляхом внесення запису до реєстру  або </w:t>
      </w:r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>іншим чином;</w:t>
      </w:r>
    </w:p>
    <w:p w:rsidR="0016080C" w:rsidRPr="0016080C" w:rsidRDefault="0016080C" w:rsidP="001608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64" w:name="o66"/>
      <w:bookmarkEnd w:id="64"/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 xml:space="preserve">     (j) "процедура  банкрутства"  означає  будь-який  колективний </w:t>
      </w:r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захід,  передбачений законодавством  країни-члена ЄС,  або третьої </w:t>
      </w:r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країни, стосовно ліквідації або реорганізації учасника у випадках, </w:t>
      </w:r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коли  такий захід включає в себе призупинення передач або платежів </w:t>
      </w:r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>чи встановлення щодо них обмежень;</w:t>
      </w:r>
    </w:p>
    <w:p w:rsidR="0016080C" w:rsidRPr="0016080C" w:rsidRDefault="0016080C" w:rsidP="001608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65" w:name="o67"/>
      <w:bookmarkEnd w:id="65"/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 xml:space="preserve">     (k) "взаємозалік  по  </w:t>
      </w:r>
      <w:proofErr w:type="spellStart"/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>платежах</w:t>
      </w:r>
      <w:proofErr w:type="spellEnd"/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>" (</w:t>
      </w:r>
      <w:proofErr w:type="spellStart"/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>netting</w:t>
      </w:r>
      <w:proofErr w:type="spellEnd"/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 xml:space="preserve">) означає конвертацію </w:t>
      </w:r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вимог   і   зобов'язань    в    одну    </w:t>
      </w:r>
      <w:proofErr w:type="spellStart"/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>нетто</w:t>
      </w:r>
      <w:proofErr w:type="spellEnd"/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 xml:space="preserve">-вимогу   або    одне </w:t>
      </w:r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</w:r>
      <w:proofErr w:type="spellStart"/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>нетто</w:t>
      </w:r>
      <w:proofErr w:type="spellEnd"/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 xml:space="preserve">-зобов'язання,   що   виникають   в   результаті   платіжного </w:t>
      </w:r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доручення,  які учасник або учасники висувають одному або  кільком </w:t>
      </w:r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учасникам  чи  отримують  від  одного  або  кількох  учасників,  в </w:t>
      </w:r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результаті чого  може  заявлятися  тільки  одна  </w:t>
      </w:r>
      <w:proofErr w:type="spellStart"/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>нетто</w:t>
      </w:r>
      <w:proofErr w:type="spellEnd"/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 xml:space="preserve">-вимога  або </w:t>
      </w:r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підлягати виконанню лише одне </w:t>
      </w:r>
      <w:proofErr w:type="spellStart"/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>нетто</w:t>
      </w:r>
      <w:proofErr w:type="spellEnd"/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>-зобов'язання;</w:t>
      </w:r>
    </w:p>
    <w:p w:rsidR="0016080C" w:rsidRPr="0016080C" w:rsidRDefault="0016080C" w:rsidP="001608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66" w:name="o68"/>
      <w:bookmarkEnd w:id="66"/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 xml:space="preserve">     (l) "розрахунковий рахунок" означає  рахунок  в  центральному </w:t>
      </w:r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банку,   у   </w:t>
      </w:r>
      <w:proofErr w:type="spellStart"/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>агента</w:t>
      </w:r>
      <w:proofErr w:type="spellEnd"/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 xml:space="preserve">   з  питань  розрахунків  або  у  центрального </w:t>
      </w:r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контрагента,  що використовується для розміщення коштів  і  цінних </w:t>
      </w:r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паперів  та  здійснення  розрахунків  по  операціях  та угодах між </w:t>
      </w:r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>учасниками системи;</w:t>
      </w:r>
    </w:p>
    <w:p w:rsidR="0016080C" w:rsidRPr="0016080C" w:rsidRDefault="0016080C" w:rsidP="001608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67" w:name="o69"/>
      <w:bookmarkEnd w:id="67"/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 xml:space="preserve">     (m) "майнове забезпечення" означає всі активи, що можуть бути </w:t>
      </w:r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реалізовані,  які надаються під заставу (включаючи грошові  кошти, </w:t>
      </w:r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надані  під  заставу),  </w:t>
      </w:r>
      <w:proofErr w:type="spellStart"/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>репо</w:t>
      </w:r>
      <w:proofErr w:type="spellEnd"/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 xml:space="preserve">  або  подібну  угоду,  або інше,  які </w:t>
      </w:r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надаються з метою забезпечення прав та зобов'язань, які потенційно </w:t>
      </w:r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можуть   виникати   у  зв'язку  із  системою,  або  які  надаються </w:t>
      </w:r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центральним банкам країн-членів ЄС або  майбутньому  Європейському </w:t>
      </w:r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центральному банку. </w:t>
      </w:r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</w:r>
    </w:p>
    <w:p w:rsidR="0016080C" w:rsidRPr="0016080C" w:rsidRDefault="0016080C" w:rsidP="001608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68" w:name="o70"/>
      <w:bookmarkEnd w:id="68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lastRenderedPageBreak/>
        <w:t xml:space="preserve">                            </w:t>
      </w:r>
      <w:r w:rsidRPr="0016080C">
        <w:rPr>
          <w:rFonts w:ascii="Consolas" w:eastAsia="Times New Roman" w:hAnsi="Consolas" w:cs="Courier New"/>
          <w:b/>
          <w:bCs/>
          <w:color w:val="292B2C"/>
          <w:sz w:val="26"/>
          <w:szCs w:val="26"/>
          <w:lang w:eastAsia="uk-UA"/>
        </w:rPr>
        <w:t>Розділ II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</w:r>
    </w:p>
    <w:p w:rsidR="0016080C" w:rsidRPr="0016080C" w:rsidRDefault="0016080C" w:rsidP="001608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69" w:name="o71"/>
      <w:bookmarkEnd w:id="69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         Взаємозаліки по </w:t>
      </w:r>
      <w:proofErr w:type="spellStart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платежах</w:t>
      </w:r>
      <w:proofErr w:type="spellEnd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на платіжні доручення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</w:r>
    </w:p>
    <w:p w:rsidR="0016080C" w:rsidRPr="0016080C" w:rsidRDefault="0016080C" w:rsidP="001608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70" w:name="o72"/>
      <w:bookmarkEnd w:id="70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                            </w:t>
      </w:r>
      <w:r w:rsidRPr="0016080C">
        <w:rPr>
          <w:rFonts w:ascii="Consolas" w:eastAsia="Times New Roman" w:hAnsi="Consolas" w:cs="Courier New"/>
          <w:b/>
          <w:bCs/>
          <w:color w:val="292B2C"/>
          <w:sz w:val="26"/>
          <w:szCs w:val="26"/>
          <w:lang w:eastAsia="uk-UA"/>
        </w:rPr>
        <w:t>Стаття 3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</w:r>
    </w:p>
    <w:p w:rsidR="0016080C" w:rsidRPr="0016080C" w:rsidRDefault="0016080C" w:rsidP="001608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71" w:name="o73"/>
      <w:bookmarkEnd w:id="71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    1. Платіжні  доручення та взаємозаліки по </w:t>
      </w:r>
      <w:proofErr w:type="spellStart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платежах</w:t>
      </w:r>
      <w:proofErr w:type="spellEnd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підлягають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примусовому виконанню відповідно до закону і,  у випадку  процедур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банкрутства,   розпочатих   проти  учасника,  є  обов'язковими  до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виконання третіми особами,  за умови,  що платіжні доручення  були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внесені   до   системи   до   початку   порушення  таких  процедур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>банкрутства, як це визначено в Статті 6 (1).</w:t>
      </w:r>
    </w:p>
    <w:p w:rsidR="0016080C" w:rsidRPr="0016080C" w:rsidRDefault="0016080C" w:rsidP="001608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72" w:name="o74"/>
      <w:bookmarkEnd w:id="72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    У випадках,  коли,  в порядку виключення,  платіжні доручення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вносяться після моменту початку процедур банкрутства і виконуються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в   день  початку  таких  процедур,  вони  підлягають  примусовому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виконанню згідно з законом та є обов'язковими до виконання третіми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особами  у разі,  якщо після проведення розрахунків агент з питань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розрахунків,  центральний контрагент або кліринговий центр  можуть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довести,  що  вони  не  знали  і  не могли знати про початок таких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>процедур.</w:t>
      </w:r>
    </w:p>
    <w:p w:rsidR="0016080C" w:rsidRPr="0016080C" w:rsidRDefault="0016080C" w:rsidP="001608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73" w:name="o75"/>
      <w:bookmarkEnd w:id="73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    2. Жодний  закон,  положення,  правило,  нормативний  акт  чи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практика,  що регулюють або стосуються відміни контрактів, угод та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операцій,  укладених  до моменту початку процедур банкрутства,  як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визначено в Статті 6 (1), не призведуть до відміни взаємозаліку по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</w:r>
      <w:proofErr w:type="spellStart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платежах</w:t>
      </w:r>
      <w:proofErr w:type="spellEnd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.</w:t>
      </w:r>
    </w:p>
    <w:p w:rsidR="0016080C" w:rsidRPr="0016080C" w:rsidRDefault="0016080C" w:rsidP="001608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74" w:name="o76"/>
      <w:bookmarkEnd w:id="74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    3. Час внесення платіжного доручення в  систему  визначається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правилами цієї системи. Якщо існують умови, визначені національним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законодавством,  яке  регулює  діяльність  системи  щодо   моменту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внесення  платіжного  доручення  в систему,  правила такої системи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повинні відповідати таким умовам.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</w:r>
    </w:p>
    <w:p w:rsidR="0016080C" w:rsidRPr="0016080C" w:rsidRDefault="0016080C" w:rsidP="001608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75" w:name="o77"/>
      <w:bookmarkEnd w:id="75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                            </w:t>
      </w:r>
      <w:r w:rsidRPr="0016080C">
        <w:rPr>
          <w:rFonts w:ascii="Consolas" w:eastAsia="Times New Roman" w:hAnsi="Consolas" w:cs="Courier New"/>
          <w:b/>
          <w:bCs/>
          <w:color w:val="292B2C"/>
          <w:sz w:val="26"/>
          <w:szCs w:val="26"/>
          <w:lang w:eastAsia="uk-UA"/>
        </w:rPr>
        <w:t>Стаття 4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</w:r>
    </w:p>
    <w:p w:rsidR="0016080C" w:rsidRPr="0016080C" w:rsidRDefault="0016080C" w:rsidP="001608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76" w:name="o78"/>
      <w:bookmarkEnd w:id="76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    Країни-члени ЄС  можуть  передбачити,  що  початок   процедур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банкрутства  по  відношенню  до  учасника  не повинен перешкоджати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використанню  коштів  або  цінних  паперів,  які  знаходяться   на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розрахунковому  рахунку  такого учасника для виконання зобов'язань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цього  учасника  в  рамках  системи  на  день   початку   процедур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банкрутства. Далі, країни-члени ЄС можуть передбачити, що кредитна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лінія  такого  учасника,  пов'язана   із   системою,   може   бути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використана   по   відношенню   наявного  та  існуючого  майнового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забезпечення з метою  забезпечення  виконання  зобов'язань  такого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учасника системи.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</w:r>
    </w:p>
    <w:p w:rsidR="0016080C" w:rsidRPr="0016080C" w:rsidRDefault="0016080C" w:rsidP="001608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77" w:name="o79"/>
      <w:bookmarkEnd w:id="77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                            </w:t>
      </w:r>
      <w:r w:rsidRPr="0016080C">
        <w:rPr>
          <w:rFonts w:ascii="Consolas" w:eastAsia="Times New Roman" w:hAnsi="Consolas" w:cs="Courier New"/>
          <w:b/>
          <w:bCs/>
          <w:color w:val="292B2C"/>
          <w:sz w:val="26"/>
          <w:szCs w:val="26"/>
          <w:lang w:eastAsia="uk-UA"/>
        </w:rPr>
        <w:t>Стаття 5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</w:r>
    </w:p>
    <w:p w:rsidR="0016080C" w:rsidRPr="0016080C" w:rsidRDefault="0016080C" w:rsidP="001608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78" w:name="o80"/>
      <w:bookmarkEnd w:id="78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    З моменту,  що  встановлюється правилами відповідної системи,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платіжне доручення не може бути скасоване ні учасником системи, ні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lastRenderedPageBreak/>
        <w:t xml:space="preserve">третьою стороною.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</w:r>
    </w:p>
    <w:p w:rsidR="0016080C" w:rsidRPr="0016080C" w:rsidRDefault="0016080C" w:rsidP="001608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79" w:name="o81"/>
      <w:bookmarkEnd w:id="79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                           </w:t>
      </w:r>
      <w:r w:rsidRPr="0016080C">
        <w:rPr>
          <w:rFonts w:ascii="Consolas" w:eastAsia="Times New Roman" w:hAnsi="Consolas" w:cs="Courier New"/>
          <w:b/>
          <w:bCs/>
          <w:color w:val="292B2C"/>
          <w:sz w:val="26"/>
          <w:szCs w:val="26"/>
          <w:lang w:eastAsia="uk-UA"/>
        </w:rPr>
        <w:t>Розділ III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</w:r>
    </w:p>
    <w:p w:rsidR="0016080C" w:rsidRPr="0016080C" w:rsidRDefault="0016080C" w:rsidP="001608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80" w:name="o82"/>
      <w:bookmarkEnd w:id="80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         Положення, що стосуються процедур банкрутства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</w:r>
    </w:p>
    <w:p w:rsidR="0016080C" w:rsidRPr="0016080C" w:rsidRDefault="0016080C" w:rsidP="001608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81" w:name="o83"/>
      <w:bookmarkEnd w:id="81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                            </w:t>
      </w:r>
      <w:r w:rsidRPr="0016080C">
        <w:rPr>
          <w:rFonts w:ascii="Consolas" w:eastAsia="Times New Roman" w:hAnsi="Consolas" w:cs="Courier New"/>
          <w:b/>
          <w:bCs/>
          <w:color w:val="292B2C"/>
          <w:sz w:val="26"/>
          <w:szCs w:val="26"/>
          <w:lang w:eastAsia="uk-UA"/>
        </w:rPr>
        <w:t>Стаття 6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</w:r>
    </w:p>
    <w:p w:rsidR="0016080C" w:rsidRPr="0016080C" w:rsidRDefault="0016080C" w:rsidP="001608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82" w:name="o84"/>
      <w:bookmarkEnd w:id="82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    1. Для  цілей  цієї  Директиви  моментом   початку   процедур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банкрутства  є  момент  прийняття  рішення відповідним судовим або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>адміністративним органом.</w:t>
      </w:r>
    </w:p>
    <w:p w:rsidR="0016080C" w:rsidRPr="0016080C" w:rsidRDefault="0016080C" w:rsidP="001608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83" w:name="o85"/>
      <w:bookmarkEnd w:id="83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    2. У  разі  прийняття  рішення згідно з пунктом 1 відповідний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судовий або адміністративний уповноважений орган  повинен  негайно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повідомити про таке рішення відповідний уповноважений орган,  який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>був обраний (названий) його країною-членом ЄС.</w:t>
      </w:r>
    </w:p>
    <w:p w:rsidR="0016080C" w:rsidRPr="0016080C" w:rsidRDefault="0016080C" w:rsidP="001608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84" w:name="o86"/>
      <w:bookmarkEnd w:id="84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    3. Країна-член ЄС,  що зазначена у пункті 2,  повинна негайно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повідомити інші країни-члени ЄС.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</w:r>
    </w:p>
    <w:p w:rsidR="0016080C" w:rsidRPr="0016080C" w:rsidRDefault="0016080C" w:rsidP="001608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85" w:name="o87"/>
      <w:bookmarkEnd w:id="85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                            </w:t>
      </w:r>
      <w:r w:rsidRPr="0016080C">
        <w:rPr>
          <w:rFonts w:ascii="Consolas" w:eastAsia="Times New Roman" w:hAnsi="Consolas" w:cs="Courier New"/>
          <w:b/>
          <w:bCs/>
          <w:color w:val="292B2C"/>
          <w:sz w:val="26"/>
          <w:szCs w:val="26"/>
          <w:lang w:eastAsia="uk-UA"/>
        </w:rPr>
        <w:t>Стаття 7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</w:r>
    </w:p>
    <w:p w:rsidR="0016080C" w:rsidRPr="0016080C" w:rsidRDefault="0016080C" w:rsidP="001608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86" w:name="o88"/>
      <w:bookmarkEnd w:id="86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    Процедури банкрутства не мають  зворотної  дії  щодо  прав  і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зобов'язань  учасника,  що  виникають  у  зв'язку  з його участю в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системі або пов'язані з такою  участю  до  моменту  початку  таких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процедур, як визначено в Статті 6 (1).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</w:r>
    </w:p>
    <w:p w:rsidR="0016080C" w:rsidRPr="0016080C" w:rsidRDefault="0016080C" w:rsidP="001608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87" w:name="o89"/>
      <w:bookmarkEnd w:id="87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                            </w:t>
      </w:r>
      <w:r w:rsidRPr="0016080C">
        <w:rPr>
          <w:rFonts w:ascii="Consolas" w:eastAsia="Times New Roman" w:hAnsi="Consolas" w:cs="Courier New"/>
          <w:b/>
          <w:bCs/>
          <w:color w:val="292B2C"/>
          <w:sz w:val="26"/>
          <w:szCs w:val="26"/>
          <w:lang w:eastAsia="uk-UA"/>
        </w:rPr>
        <w:t>Стаття 8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</w:r>
    </w:p>
    <w:p w:rsidR="0016080C" w:rsidRPr="0016080C" w:rsidRDefault="0016080C" w:rsidP="001608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88" w:name="o90"/>
      <w:bookmarkEnd w:id="88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    У випадку,   якщо   процедури   банкрутства  розпочаті  проти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учасника системи,  права та зобов'язання,  що виникають із  участі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такого учасника або у зв'язку з нею,  визначаються законодавством,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яке регулює діяльність системи.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</w:r>
    </w:p>
    <w:p w:rsidR="0016080C" w:rsidRPr="0016080C" w:rsidRDefault="0016080C" w:rsidP="001608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89" w:name="o91"/>
      <w:bookmarkEnd w:id="89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                           </w:t>
      </w:r>
      <w:r w:rsidRPr="0016080C">
        <w:rPr>
          <w:rFonts w:ascii="Consolas" w:eastAsia="Times New Roman" w:hAnsi="Consolas" w:cs="Courier New"/>
          <w:b/>
          <w:bCs/>
          <w:color w:val="292B2C"/>
          <w:sz w:val="26"/>
          <w:szCs w:val="26"/>
          <w:lang w:eastAsia="uk-UA"/>
        </w:rPr>
        <w:t>Розділ IV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</w:r>
    </w:p>
    <w:p w:rsidR="0016080C" w:rsidRPr="0016080C" w:rsidRDefault="0016080C" w:rsidP="001608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90" w:name="o92"/>
      <w:bookmarkEnd w:id="90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        Відокремлення прав заставоутримувачів майнового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       забезпечення від наслідків банкрутства </w:t>
      </w:r>
      <w:proofErr w:type="spellStart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заставодавця</w:t>
      </w:r>
      <w:proofErr w:type="spellEnd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</w:r>
    </w:p>
    <w:p w:rsidR="0016080C" w:rsidRPr="0016080C" w:rsidRDefault="0016080C" w:rsidP="001608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91" w:name="o93"/>
      <w:bookmarkEnd w:id="91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                            </w:t>
      </w:r>
      <w:r w:rsidRPr="0016080C">
        <w:rPr>
          <w:rFonts w:ascii="Consolas" w:eastAsia="Times New Roman" w:hAnsi="Consolas" w:cs="Courier New"/>
          <w:b/>
          <w:bCs/>
          <w:color w:val="292B2C"/>
          <w:sz w:val="26"/>
          <w:szCs w:val="26"/>
          <w:lang w:eastAsia="uk-UA"/>
        </w:rPr>
        <w:t>Стаття 9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</w:r>
    </w:p>
    <w:p w:rsidR="0016080C" w:rsidRPr="0016080C" w:rsidRDefault="0016080C" w:rsidP="001608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92" w:name="o94"/>
      <w:bookmarkEnd w:id="92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    1. На права:</w:t>
      </w:r>
    </w:p>
    <w:p w:rsidR="0016080C" w:rsidRPr="0016080C" w:rsidRDefault="0016080C" w:rsidP="001608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93" w:name="o95"/>
      <w:bookmarkEnd w:id="93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    - учасника на майнове  забезпечення,  яке  йому  надається  у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>зв'язку із системою, та</w:t>
      </w:r>
    </w:p>
    <w:p w:rsidR="0016080C" w:rsidRPr="0016080C" w:rsidRDefault="0016080C" w:rsidP="001608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94" w:name="o96"/>
      <w:bookmarkEnd w:id="94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    - центральних  банків   країн-членів   ЄС   або   майбутнього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Європейського  центрального  банку на майнове забезпечення,  що їм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>надається,</w:t>
      </w:r>
    </w:p>
    <w:p w:rsidR="0016080C" w:rsidRPr="0016080C" w:rsidRDefault="0016080C" w:rsidP="001608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95" w:name="o97"/>
      <w:bookmarkEnd w:id="95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    не впливають процедури банкрутства,  розпочаті проти учасника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або контрагента центральних банків країн-членів ЄС або майбутнього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Європейського центрального банку, який надав майнове забезпечення.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lastRenderedPageBreak/>
        <w:t xml:space="preserve">Таке майнове забезпечення може бути  реалізоване  для  задоволення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>цих прав.</w:t>
      </w:r>
    </w:p>
    <w:p w:rsidR="0016080C" w:rsidRPr="0016080C" w:rsidRDefault="0016080C" w:rsidP="001608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96" w:name="o98"/>
      <w:bookmarkEnd w:id="96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    2. У випадках,  коли цінні папери (включаючи права  на  цінні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папери)   надаються   як   майнове  забезпечення  учасникам  і/або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центральним банкам країн-членів ЄС або  майбутньому  Європейському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центральному банку, як зазначено в пункті 1, і їх право (або право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будь-якої названої особи, </w:t>
      </w:r>
      <w:proofErr w:type="spellStart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агента</w:t>
      </w:r>
      <w:proofErr w:type="spellEnd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або третьої сторони від їх імені)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щодо  цінних паперів в передбаченому законом порядку записується в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реєстрі,  рахунковій  або  централізованій   депозитній   системі,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розташованій  в  країні-члені  ЄС,  визначення  прав таких осіб як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заставодержателів майнового  забезпечення  по  відношенню  до  цих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цінних  паперів буде регулюватися законодавством цієї країни-члена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ЄС.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</w:r>
    </w:p>
    <w:p w:rsidR="0016080C" w:rsidRPr="0016080C" w:rsidRDefault="0016080C" w:rsidP="001608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97" w:name="o99"/>
      <w:bookmarkEnd w:id="97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                            </w:t>
      </w:r>
      <w:r w:rsidRPr="0016080C">
        <w:rPr>
          <w:rFonts w:ascii="Consolas" w:eastAsia="Times New Roman" w:hAnsi="Consolas" w:cs="Courier New"/>
          <w:b/>
          <w:bCs/>
          <w:color w:val="292B2C"/>
          <w:sz w:val="26"/>
          <w:szCs w:val="26"/>
          <w:lang w:eastAsia="uk-UA"/>
        </w:rPr>
        <w:t>Розділ V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</w:r>
    </w:p>
    <w:p w:rsidR="0016080C" w:rsidRPr="0016080C" w:rsidRDefault="0016080C" w:rsidP="001608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98" w:name="o100"/>
      <w:bookmarkEnd w:id="98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                      Прикінцеві положення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</w:r>
    </w:p>
    <w:p w:rsidR="0016080C" w:rsidRPr="0016080C" w:rsidRDefault="0016080C" w:rsidP="001608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99" w:name="o101"/>
      <w:bookmarkEnd w:id="99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                           </w:t>
      </w:r>
      <w:r w:rsidRPr="0016080C">
        <w:rPr>
          <w:rFonts w:ascii="Consolas" w:eastAsia="Times New Roman" w:hAnsi="Consolas" w:cs="Courier New"/>
          <w:b/>
          <w:bCs/>
          <w:color w:val="292B2C"/>
          <w:sz w:val="26"/>
          <w:szCs w:val="26"/>
          <w:lang w:eastAsia="uk-UA"/>
        </w:rPr>
        <w:t>Стаття 10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</w:r>
    </w:p>
    <w:p w:rsidR="0016080C" w:rsidRPr="0016080C" w:rsidRDefault="0016080C" w:rsidP="001608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100" w:name="o102"/>
      <w:bookmarkEnd w:id="100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    Країни-члени ЄС повинні точно вказати  системи,  на  які  має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поширюватися дія цієї Директиви,  і повідомити про них Комісію,  а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також поінформувати Комісію про повноваження,  які вони вибрали  у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>відповідності зі Статтею 6 (2).</w:t>
      </w:r>
    </w:p>
    <w:p w:rsidR="0016080C" w:rsidRPr="0016080C" w:rsidRDefault="0016080C" w:rsidP="001608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101" w:name="o103"/>
      <w:bookmarkEnd w:id="101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    Система повинна  повідомити  країну-члена  ЄС,  законодавство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якої  відповідає  цій  системі,  про учасників системи,  включаючи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будь-яких можливих непрямих учасників, а також будь-які зміни в їх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>складі.</w:t>
      </w:r>
    </w:p>
    <w:p w:rsidR="0016080C" w:rsidRPr="0016080C" w:rsidRDefault="0016080C" w:rsidP="001608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102" w:name="o104"/>
      <w:bookmarkEnd w:id="102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    Крім вказівки, передбаченої в другому параграфі, країни-члени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ЄС  можуть  встановлювати  вимоги  щодо  нагляду  за системами або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>дозволу на створення систем, які підпадають під їх юрисдикцію.</w:t>
      </w:r>
    </w:p>
    <w:p w:rsidR="0016080C" w:rsidRPr="0016080C" w:rsidRDefault="0016080C" w:rsidP="001608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103" w:name="o105"/>
      <w:bookmarkEnd w:id="103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    Будь-яка особа,  яка має законний інтерес,  може вимагати від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установи надання їй інформації  про  систему,  в  якій  вона  бере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участь,  а  також  надання  інформації  про правила,  що регулюють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функціонування таких систем.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</w:r>
    </w:p>
    <w:p w:rsidR="0016080C" w:rsidRPr="0016080C" w:rsidRDefault="0016080C" w:rsidP="001608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104" w:name="o106"/>
      <w:bookmarkEnd w:id="104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                           </w:t>
      </w:r>
      <w:r w:rsidRPr="0016080C">
        <w:rPr>
          <w:rFonts w:ascii="Consolas" w:eastAsia="Times New Roman" w:hAnsi="Consolas" w:cs="Courier New"/>
          <w:b/>
          <w:bCs/>
          <w:color w:val="292B2C"/>
          <w:sz w:val="26"/>
          <w:szCs w:val="26"/>
          <w:lang w:eastAsia="uk-UA"/>
        </w:rPr>
        <w:t>Стаття 11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</w:r>
    </w:p>
    <w:p w:rsidR="0016080C" w:rsidRPr="0016080C" w:rsidRDefault="0016080C" w:rsidP="001608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105" w:name="o107"/>
      <w:bookmarkEnd w:id="105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    1. Країни-члени ЄС повинні прийняти закони,  нормативні  акти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та   адміністративні   положення,  які  необхідні  для  дотримання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положень цієї Директиви,  до 11 грудня  1999  року.  Вони  повинні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>негайно поінформувати про це Комісію.</w:t>
      </w:r>
    </w:p>
    <w:p w:rsidR="0016080C" w:rsidRPr="0016080C" w:rsidRDefault="0016080C" w:rsidP="001608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106" w:name="o108"/>
      <w:bookmarkEnd w:id="106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    Прийняті країнами-членами ЄС акти повинні  містити  посилання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на  цю  Директиву  або  супроводжуватися  таким  посиланням при їх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офіційному  опублікуванні.  Порядок   надання   такого   посилання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>визначається країнами-членами ЄС.</w:t>
      </w:r>
    </w:p>
    <w:p w:rsidR="0016080C" w:rsidRPr="0016080C" w:rsidRDefault="0016080C" w:rsidP="001608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107" w:name="o109"/>
      <w:bookmarkEnd w:id="107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    2. Країни-члени ЄС  повинні  інформувати  Комісію  про  зміст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положень національного законодавства, прийнятого ними у цій сфері,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що регулюється також і  цією  Директивою.  В  такому  Повідомленні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lastRenderedPageBreak/>
        <w:t xml:space="preserve">країни-члени ЄС  повинні подати таблицю відповідності існуючих або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нововведених положень національного законодавства стосовно  кожної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статті цієї Директиви.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</w:r>
    </w:p>
    <w:p w:rsidR="0016080C" w:rsidRPr="0016080C" w:rsidRDefault="0016080C" w:rsidP="001608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108" w:name="o110"/>
      <w:bookmarkEnd w:id="108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                           </w:t>
      </w:r>
      <w:r w:rsidRPr="0016080C">
        <w:rPr>
          <w:rFonts w:ascii="Consolas" w:eastAsia="Times New Roman" w:hAnsi="Consolas" w:cs="Courier New"/>
          <w:b/>
          <w:bCs/>
          <w:color w:val="292B2C"/>
          <w:sz w:val="26"/>
          <w:szCs w:val="26"/>
          <w:lang w:eastAsia="uk-UA"/>
        </w:rPr>
        <w:t>Стаття 12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</w:r>
    </w:p>
    <w:p w:rsidR="0016080C" w:rsidRPr="0016080C" w:rsidRDefault="0016080C" w:rsidP="001608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109" w:name="o111"/>
      <w:bookmarkEnd w:id="109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    Не пізніше  трьох  років з дати,  зазначеної в Статті 11 (1),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Комісія повинна подати звіт Європейському Парламенту та  Раді  про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застосування  цієї Директиви,  разом із пропозиціями щодо внесення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до неї змін і доповнень по мірі необхідності.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</w:r>
    </w:p>
    <w:p w:rsidR="0016080C" w:rsidRPr="0016080C" w:rsidRDefault="0016080C" w:rsidP="001608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110" w:name="o112"/>
      <w:bookmarkEnd w:id="110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                           </w:t>
      </w:r>
      <w:r w:rsidRPr="0016080C">
        <w:rPr>
          <w:rFonts w:ascii="Consolas" w:eastAsia="Times New Roman" w:hAnsi="Consolas" w:cs="Courier New"/>
          <w:b/>
          <w:bCs/>
          <w:color w:val="292B2C"/>
          <w:sz w:val="26"/>
          <w:szCs w:val="26"/>
          <w:lang w:eastAsia="uk-UA"/>
        </w:rPr>
        <w:t>Стаття 13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</w:r>
    </w:p>
    <w:p w:rsidR="0016080C" w:rsidRPr="0016080C" w:rsidRDefault="0016080C" w:rsidP="001608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111" w:name="o113"/>
      <w:bookmarkEnd w:id="111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    Ця Директива  вступає   в   силу   в   день   її   офіційного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опублікування в Офіційному Журналі Європейського Співтовариства.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</w:r>
    </w:p>
    <w:p w:rsidR="0016080C" w:rsidRPr="0016080C" w:rsidRDefault="0016080C" w:rsidP="001608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112" w:name="o114"/>
      <w:bookmarkEnd w:id="112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                           </w:t>
      </w:r>
      <w:r w:rsidRPr="0016080C">
        <w:rPr>
          <w:rFonts w:ascii="Consolas" w:eastAsia="Times New Roman" w:hAnsi="Consolas" w:cs="Courier New"/>
          <w:b/>
          <w:bCs/>
          <w:color w:val="292B2C"/>
          <w:sz w:val="26"/>
          <w:szCs w:val="26"/>
          <w:lang w:eastAsia="uk-UA"/>
        </w:rPr>
        <w:t>Стаття 14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</w:r>
    </w:p>
    <w:p w:rsidR="0016080C" w:rsidRPr="0016080C" w:rsidRDefault="0016080C" w:rsidP="001608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113" w:name="o115"/>
      <w:bookmarkEnd w:id="113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    Ця Директива стосується країн-членів ЄС.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</w:r>
    </w:p>
    <w:p w:rsidR="0016080C" w:rsidRPr="0016080C" w:rsidRDefault="0016080C" w:rsidP="001608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114" w:name="o116"/>
      <w:bookmarkEnd w:id="114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    Вчинено в Брюсселі 19 травня 1998.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</w:r>
    </w:p>
    <w:p w:rsidR="0016080C" w:rsidRPr="0016080C" w:rsidRDefault="0016080C" w:rsidP="001608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115" w:name="o117"/>
      <w:bookmarkEnd w:id="115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Від Європейського Парламенту                           Від Ради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</w:r>
    </w:p>
    <w:p w:rsidR="0016080C" w:rsidRPr="0016080C" w:rsidRDefault="0016080C" w:rsidP="001608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116" w:name="o118"/>
      <w:bookmarkEnd w:id="116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        Президент                                      </w:t>
      </w:r>
      <w:proofErr w:type="spellStart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Президент</w:t>
      </w:r>
      <w:proofErr w:type="spellEnd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</w:t>
      </w:r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</w:r>
    </w:p>
    <w:p w:rsidR="0016080C" w:rsidRPr="0016080C" w:rsidRDefault="0016080C" w:rsidP="001608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117" w:name="o119"/>
      <w:bookmarkEnd w:id="117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    </w:t>
      </w:r>
      <w:proofErr w:type="spellStart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Дж</w:t>
      </w:r>
      <w:proofErr w:type="spellEnd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. М. </w:t>
      </w:r>
      <w:proofErr w:type="spellStart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Жіль-Робле</w:t>
      </w:r>
      <w:proofErr w:type="spellEnd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                                 </w:t>
      </w:r>
      <w:proofErr w:type="spellStart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Дж</w:t>
      </w:r>
      <w:proofErr w:type="spellEnd"/>
      <w:r w:rsidRPr="0016080C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. Браун</w:t>
      </w:r>
    </w:p>
    <w:p w:rsidR="0016080C" w:rsidRPr="0016080C" w:rsidRDefault="0016080C" w:rsidP="001608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118" w:name="o120"/>
      <w:bookmarkEnd w:id="118"/>
      <w:r w:rsidRPr="0016080C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 xml:space="preserve">     (J. M. GIL-ROBLES)                                 (G. BROWN) </w:t>
      </w:r>
    </w:p>
    <w:p w:rsidR="00812E8D" w:rsidRDefault="00812E8D"/>
    <w:sectPr w:rsidR="00812E8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519E"/>
    <w:rsid w:val="000348A6"/>
    <w:rsid w:val="0016080C"/>
    <w:rsid w:val="00812E8D"/>
    <w:rsid w:val="00BF73F8"/>
    <w:rsid w:val="00C8519E"/>
    <w:rsid w:val="00CA5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225282"/>
  <w15:chartTrackingRefBased/>
  <w15:docId w15:val="{F657D2C0-9068-4488-9523-7A12750FD7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6080C"/>
    <w:rPr>
      <w:color w:val="0000FF"/>
      <w:u w:val="single"/>
    </w:rPr>
  </w:style>
  <w:style w:type="character" w:styleId="HTML">
    <w:name w:val="HTML Keyboard"/>
    <w:basedOn w:val="a0"/>
    <w:uiPriority w:val="99"/>
    <w:semiHidden/>
    <w:unhideWhenUsed/>
    <w:rsid w:val="0016080C"/>
    <w:rPr>
      <w:rFonts w:ascii="Courier New" w:eastAsia="Times New Roman" w:hAnsi="Courier New" w:cs="Courier New"/>
      <w:sz w:val="20"/>
      <w:szCs w:val="20"/>
    </w:rPr>
  </w:style>
  <w:style w:type="paragraph" w:styleId="HTML0">
    <w:name w:val="HTML Preformatted"/>
    <w:basedOn w:val="a"/>
    <w:link w:val="HTML1"/>
    <w:uiPriority w:val="99"/>
    <w:semiHidden/>
    <w:unhideWhenUsed/>
    <w:rsid w:val="0016080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uk-UA"/>
    </w:rPr>
  </w:style>
  <w:style w:type="character" w:customStyle="1" w:styleId="HTML1">
    <w:name w:val="Стандартный HTML Знак"/>
    <w:basedOn w:val="a0"/>
    <w:link w:val="HTML0"/>
    <w:uiPriority w:val="99"/>
    <w:semiHidden/>
    <w:rsid w:val="0016080C"/>
    <w:rPr>
      <w:rFonts w:ascii="Courier New" w:eastAsia="Times New Roman" w:hAnsi="Courier New" w:cs="Courier New"/>
      <w:sz w:val="20"/>
      <w:szCs w:val="20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012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891058">
          <w:marLeft w:val="0"/>
          <w:marRight w:val="0"/>
          <w:marTop w:val="0"/>
          <w:marBottom w:val="0"/>
          <w:divBdr>
            <w:top w:val="none" w:sz="0" w:space="4" w:color="auto"/>
            <w:left w:val="single" w:sz="6" w:space="8" w:color="E2E2E2"/>
            <w:bottom w:val="single" w:sz="6" w:space="4" w:color="E2E2E2"/>
            <w:right w:val="single" w:sz="6" w:space="8" w:color="E2E2E2"/>
          </w:divBdr>
        </w:div>
        <w:div w:id="3495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088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laws/show/994_187" TargetMode="External"/><Relationship Id="rId13" Type="http://schemas.openxmlformats.org/officeDocument/2006/relationships/hyperlink" Target="https://zakon.rada.gov.ua/laws/show/994_187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zakon.rada.gov.ua/laws/show/994_297" TargetMode="External"/><Relationship Id="rId12" Type="http://schemas.openxmlformats.org/officeDocument/2006/relationships/hyperlink" Target="https://zakon.rada.gov.ua/laws/show/994_48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zakon.rada.gov.ua/laws/show/994_187" TargetMode="External"/><Relationship Id="rId11" Type="http://schemas.openxmlformats.org/officeDocument/2006/relationships/hyperlink" Target="https://zakon.rada.gov.ua/laws/show/994_353" TargetMode="External"/><Relationship Id="rId5" Type="http://schemas.openxmlformats.org/officeDocument/2006/relationships/hyperlink" Target="https://zakon.rada.gov.ua/laws/show/994_297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zakon.rada.gov.ua/laws/show/994_187" TargetMode="External"/><Relationship Id="rId4" Type="http://schemas.openxmlformats.org/officeDocument/2006/relationships/hyperlink" Target="https://zakon.rada.gov.ua/laws/show/994_029" TargetMode="External"/><Relationship Id="rId9" Type="http://schemas.openxmlformats.org/officeDocument/2006/relationships/hyperlink" Target="https://zakon.rada.gov.ua/laws/show/994_297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22204</Words>
  <Characters>12657</Characters>
  <Application>Microsoft Office Word</Application>
  <DocSecurity>0</DocSecurity>
  <Lines>105</Lines>
  <Paragraphs>69</Paragraphs>
  <ScaleCrop>false</ScaleCrop>
  <Company/>
  <LinksUpToDate>false</LinksUpToDate>
  <CharactersWithSpaces>34792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Кулинич Виктория</dc:creator>
  <cp:keywords/>
  <dc:description/>
  <cp:lastModifiedBy>Кулинич Виктория</cp:lastModifiedBy>
  <cp:revision>2</cp:revision>
  <dcterms:created xsi:type="dcterms:W3CDTF">2019-01-23T09:24:00Z</dcterms:created>
  <dcterms:modified xsi:type="dcterms:W3CDTF">2019-01-23T09:24:00Z</dcterms:modified>
</cp:coreProperties>
</file>