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6F6" w:rsidRPr="00BE58CA" w:rsidRDefault="00B636F6" w:rsidP="0089214B">
      <w:pPr>
        <w:spacing w:after="0" w:line="240" w:lineRule="auto"/>
        <w:rPr>
          <w:rFonts w:ascii="Times New Roman" w:hAnsi="Times New Roman" w:cs="Times New Roman"/>
          <w:b/>
          <w:noProof/>
          <w:sz w:val="20"/>
          <w:szCs w:val="20"/>
          <w:lang w:eastAsia="uk-UA"/>
        </w:rPr>
      </w:pPr>
    </w:p>
    <w:tbl>
      <w:tblPr>
        <w:tblStyle w:val="a3"/>
        <w:tblpPr w:leftFromText="180" w:rightFromText="180" w:vertAnchor="page" w:horzAnchor="margin" w:tblpY="2026"/>
        <w:tblW w:w="0" w:type="auto"/>
        <w:tblLook w:val="0000" w:firstRow="0" w:lastRow="0" w:firstColumn="0" w:lastColumn="0" w:noHBand="0" w:noVBand="0"/>
      </w:tblPr>
      <w:tblGrid>
        <w:gridCol w:w="4815"/>
        <w:gridCol w:w="4819"/>
        <w:gridCol w:w="5494"/>
      </w:tblGrid>
      <w:tr w:rsidR="00B636F6" w:rsidRPr="00BE58CA" w:rsidTr="005E1E70">
        <w:trPr>
          <w:trHeight w:val="525"/>
        </w:trPr>
        <w:tc>
          <w:tcPr>
            <w:tcW w:w="15128" w:type="dxa"/>
            <w:gridSpan w:val="3"/>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Проект Закону України Про внесення змін до деяких законодавчих актів України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B636F6" w:rsidRPr="00BE58CA" w:rsidTr="005E1E70">
        <w:tblPrEx>
          <w:tblLook w:val="04A0" w:firstRow="1" w:lastRow="0" w:firstColumn="1" w:lastColumn="0" w:noHBand="0" w:noVBand="1"/>
        </w:tblPrEx>
        <w:tc>
          <w:tcPr>
            <w:tcW w:w="4815" w:type="dxa"/>
          </w:tcPr>
          <w:p w:rsidR="00B636F6" w:rsidRPr="00BE58CA" w:rsidRDefault="00B636F6" w:rsidP="005E1E70">
            <w:pPr>
              <w:jc w:val="center"/>
              <w:rPr>
                <w:rFonts w:ascii="Times New Roman" w:hAnsi="Times New Roman" w:cs="Times New Roman"/>
                <w:sz w:val="20"/>
                <w:szCs w:val="20"/>
              </w:rPr>
            </w:pPr>
            <w:r w:rsidRPr="00BE58CA">
              <w:rPr>
                <w:rFonts w:ascii="Times New Roman" w:hAnsi="Times New Roman" w:cs="Times New Roman"/>
                <w:b/>
                <w:sz w:val="20"/>
                <w:szCs w:val="20"/>
              </w:rPr>
              <w:t>Чинна редакція</w:t>
            </w:r>
          </w:p>
        </w:tc>
        <w:tc>
          <w:tcPr>
            <w:tcW w:w="4819"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Коментар</w:t>
            </w:r>
          </w:p>
        </w:tc>
        <w:tc>
          <w:tcPr>
            <w:tcW w:w="5494" w:type="dxa"/>
          </w:tcPr>
          <w:p w:rsidR="00B636F6" w:rsidRPr="00BE58CA" w:rsidRDefault="00B636F6" w:rsidP="005E1E70">
            <w:pPr>
              <w:jc w:val="center"/>
              <w:rPr>
                <w:rFonts w:ascii="Times New Roman" w:hAnsi="Times New Roman" w:cs="Times New Roman"/>
                <w:sz w:val="20"/>
                <w:szCs w:val="20"/>
              </w:rPr>
            </w:pPr>
            <w:r w:rsidRPr="00BE58CA">
              <w:rPr>
                <w:rFonts w:ascii="Times New Roman" w:hAnsi="Times New Roman" w:cs="Times New Roman"/>
                <w:b/>
                <w:sz w:val="20"/>
                <w:szCs w:val="20"/>
              </w:rPr>
              <w:t>Запропоновані зміни</w:t>
            </w:r>
          </w:p>
        </w:tc>
      </w:tr>
      <w:tr w:rsidR="00B636F6" w:rsidRPr="00BE58CA" w:rsidTr="005E1E70">
        <w:tblPrEx>
          <w:tblLook w:val="04A0" w:firstRow="1" w:lastRow="0" w:firstColumn="1" w:lastColumn="0" w:noHBand="0" w:noVBand="1"/>
        </w:tblPrEx>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Пункт 6 статті 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верифікація – заходи, що вживаються суб’єктом первинного фінансового моніторингу з метою перевірки (підтвердження) належності відповідній особі отриманих суб’єктом первинного фінансового моніторингу ідентифікаційних даних та/або даних, що дають змогу встановити кінцевих бенефіціарних власників (контролерів).</w:t>
            </w:r>
          </w:p>
        </w:tc>
        <w:tc>
          <w:tcPr>
            <w:tcW w:w="4819" w:type="dxa"/>
          </w:tcPr>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r w:rsidRPr="00BE58CA">
              <w:rPr>
                <w:rFonts w:ascii="Times New Roman" w:hAnsi="Times New Roman" w:cs="Times New Roman"/>
                <w:sz w:val="20"/>
                <w:szCs w:val="20"/>
              </w:rPr>
              <w:t>Приведення у відповідність до норм Проекту закону.</w:t>
            </w:r>
          </w:p>
        </w:tc>
        <w:tc>
          <w:tcPr>
            <w:tcW w:w="5494" w:type="dxa"/>
          </w:tcPr>
          <w:p w:rsidR="00B636F6" w:rsidRPr="00BE58CA" w:rsidRDefault="006E7269" w:rsidP="005E1E70">
            <w:pPr>
              <w:jc w:val="both"/>
              <w:rPr>
                <w:rFonts w:ascii="Times New Roman" w:hAnsi="Times New Roman" w:cs="Times New Roman"/>
                <w:sz w:val="20"/>
                <w:szCs w:val="20"/>
                <w:u w:val="single"/>
              </w:rPr>
            </w:pPr>
            <w:r>
              <w:rPr>
                <w:rFonts w:ascii="Times New Roman" w:hAnsi="Times New Roman" w:cs="Times New Roman"/>
                <w:sz w:val="20"/>
                <w:szCs w:val="20"/>
                <w:u w:val="single"/>
              </w:rPr>
              <w:t>Доповнити словами: «з метою підтвердження даних» та в</w:t>
            </w:r>
            <w:r w:rsidR="00B636F6" w:rsidRPr="00BE58CA">
              <w:rPr>
                <w:rFonts w:ascii="Times New Roman" w:hAnsi="Times New Roman" w:cs="Times New Roman"/>
                <w:sz w:val="20"/>
                <w:szCs w:val="20"/>
                <w:u w:val="single"/>
              </w:rPr>
              <w:t>икласти в такій редакції:</w:t>
            </w:r>
          </w:p>
          <w:p w:rsidR="00B636F6" w:rsidRPr="00BE58CA" w:rsidRDefault="00B636F6" w:rsidP="005E1E70">
            <w:pPr>
              <w:jc w:val="both"/>
              <w:rPr>
                <w:sz w:val="20"/>
                <w:szCs w:val="20"/>
              </w:rPr>
            </w:pPr>
            <w:r w:rsidRPr="00BE58CA">
              <w:rPr>
                <w:rFonts w:ascii="Times New Roman" w:hAnsi="Times New Roman" w:cs="Times New Roman"/>
                <w:sz w:val="20"/>
                <w:szCs w:val="20"/>
              </w:rPr>
              <w:t xml:space="preserve">верифікація - заходи, що вживаються суб'єктом первинного фінансового моніторингу з метою підтвердження відповідності особи клієнта (представника клієнта) отриманим суб'єктом первинного фінансового моніторингу ідентифікаційним даним та/або </w:t>
            </w:r>
            <w:r w:rsidRPr="006E7269">
              <w:rPr>
                <w:rFonts w:ascii="Times New Roman" w:hAnsi="Times New Roman" w:cs="Times New Roman"/>
                <w:sz w:val="20"/>
                <w:szCs w:val="20"/>
              </w:rPr>
              <w:t>з метою підтвердження  даних</w:t>
            </w:r>
            <w:r w:rsidRPr="00BE58CA">
              <w:rPr>
                <w:rFonts w:ascii="Times New Roman" w:hAnsi="Times New Roman" w:cs="Times New Roman"/>
                <w:sz w:val="20"/>
                <w:szCs w:val="20"/>
              </w:rPr>
              <w:t>, що дають змогу встановити кінцевих бенефіціарних власників (контролерів).</w:t>
            </w:r>
          </w:p>
        </w:tc>
      </w:tr>
      <w:tr w:rsidR="00B636F6" w:rsidRPr="00BE58CA" w:rsidTr="005E1E70">
        <w:tblPrEx>
          <w:tblLook w:val="04A0" w:firstRow="1" w:lastRow="0" w:firstColumn="1" w:lastColumn="0" w:noHBand="0" w:noVBand="1"/>
        </w:tblPrEx>
        <w:trPr>
          <w:trHeight w:val="557"/>
        </w:trPr>
        <w:tc>
          <w:tcPr>
            <w:tcW w:w="4815" w:type="dxa"/>
          </w:tcPr>
          <w:p w:rsidR="00B636F6" w:rsidRPr="00BE58CA" w:rsidRDefault="00B636F6" w:rsidP="005E1E70">
            <w:pPr>
              <w:jc w:val="center"/>
              <w:rPr>
                <w:rFonts w:ascii="Times New Roman" w:hAnsi="Times New Roman" w:cs="Times New Roman"/>
                <w:b/>
                <w:sz w:val="20"/>
                <w:szCs w:val="20"/>
                <w:lang w:val="ru-RU"/>
              </w:rPr>
            </w:pPr>
            <w:r w:rsidRPr="00BE58CA">
              <w:rPr>
                <w:rFonts w:ascii="Times New Roman" w:hAnsi="Times New Roman" w:cs="Times New Roman"/>
                <w:b/>
                <w:sz w:val="20"/>
                <w:szCs w:val="20"/>
                <w:lang w:val="ru-RU"/>
              </w:rPr>
              <w:t>Пункт 38 статті 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номінальний утримувач – особа, яка від свого імені управляє корпоративними правами іншої особи – реального кінцевого бенефіціарного власника (контролера) в інтересах останнього.</w:t>
            </w:r>
          </w:p>
        </w:tc>
        <w:tc>
          <w:tcPr>
            <w:tcW w:w="4819" w:type="dxa"/>
          </w:tcPr>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Приведення Проекту закону у відповідність до Закону України «Про внесення змін до деяких законодавчих актів України щодо сприяння залученню іноземних інвестицій» (про номінального утримувача).</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Викласти в наступній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номінальний утримувач - іноземна фінансова установа, яка зареєстрована в державі, що є членом Європейського Союзу та/або членом Групи з розробки фінансових заходів боротьби з відмиванням грошей (FATF), відповідає встановленим Комісією вимогам та відповідно до законодавства держави, в якій її зареєстровано, має право надавати своїм клієнтам послуги з обліку цінних паперів та реєстрації переходу права власності на цінні папери, у тому числі в інших державах на підставі відповідних договорів з іноземними фінансовими установами.</w:t>
            </w:r>
          </w:p>
        </w:tc>
      </w:tr>
      <w:tr w:rsidR="00B636F6" w:rsidRPr="00BE58CA" w:rsidTr="005E1E70">
        <w:tblPrEx>
          <w:tblLook w:val="04A0" w:firstRow="1" w:lastRow="0" w:firstColumn="1" w:lastColumn="0" w:noHBand="0" w:noVBand="1"/>
        </w:tblPrEx>
        <w:tc>
          <w:tcPr>
            <w:tcW w:w="4815" w:type="dxa"/>
          </w:tcPr>
          <w:p w:rsidR="00B636F6" w:rsidRPr="00BE58CA" w:rsidRDefault="00B636F6" w:rsidP="005E1E70">
            <w:pPr>
              <w:jc w:val="center"/>
              <w:rPr>
                <w:rFonts w:ascii="Times New Roman" w:hAnsi="Times New Roman" w:cs="Times New Roman"/>
                <w:b/>
                <w:sz w:val="20"/>
                <w:szCs w:val="20"/>
                <w:lang w:val="ru-RU"/>
              </w:rPr>
            </w:pPr>
            <w:r w:rsidRPr="00BE58CA">
              <w:rPr>
                <w:rFonts w:ascii="Times New Roman" w:hAnsi="Times New Roman" w:cs="Times New Roman"/>
                <w:b/>
                <w:sz w:val="20"/>
                <w:szCs w:val="20"/>
                <w:lang w:val="ru-RU"/>
              </w:rPr>
              <w:t>Пункт 38</w:t>
            </w:r>
            <w:r w:rsidRPr="00BE58CA">
              <w:rPr>
                <w:rFonts w:ascii="Times New Roman" w:hAnsi="Times New Roman" w:cs="Times New Roman"/>
                <w:b/>
                <w:sz w:val="20"/>
                <w:szCs w:val="20"/>
                <w:vertAlign w:val="superscript"/>
                <w:lang w:val="ru-RU"/>
              </w:rPr>
              <w:t>1</w:t>
            </w:r>
            <w:r w:rsidRPr="00BE58CA">
              <w:rPr>
                <w:rFonts w:ascii="Times New Roman" w:hAnsi="Times New Roman" w:cs="Times New Roman"/>
                <w:b/>
                <w:sz w:val="20"/>
                <w:szCs w:val="20"/>
                <w:lang w:val="ru-RU"/>
              </w:rPr>
              <w:t xml:space="preserve"> статті 1</w:t>
            </w: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lang w:val="en-US"/>
              </w:rPr>
            </w:pPr>
            <w:r w:rsidRPr="00BE58CA">
              <w:rPr>
                <w:rFonts w:ascii="Times New Roman" w:hAnsi="Times New Roman" w:cs="Times New Roman"/>
                <w:b/>
                <w:sz w:val="20"/>
                <w:szCs w:val="20"/>
              </w:rPr>
              <w:t>Відсутній</w:t>
            </w:r>
          </w:p>
          <w:p w:rsidR="00B636F6" w:rsidRPr="00BE58CA" w:rsidRDefault="00B636F6" w:rsidP="005E1E70">
            <w:pPr>
              <w:jc w:val="both"/>
              <w:rPr>
                <w:rFonts w:ascii="Times New Roman" w:hAnsi="Times New Roman" w:cs="Times New Roman"/>
                <w:sz w:val="20"/>
                <w:szCs w:val="20"/>
              </w:rPr>
            </w:pP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r w:rsidRPr="00BE58CA">
              <w:rPr>
                <w:rFonts w:ascii="Times New Roman" w:hAnsi="Times New Roman" w:cs="Times New Roman"/>
                <w:sz w:val="20"/>
                <w:szCs w:val="20"/>
              </w:rPr>
              <w:t>Приведення у відповідність до норм Проекту закону.</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Доповнити статтю 1 пунктом  такого змісту:</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номінальний власник – особа, яка від свого імені управляє корпоративними правами іншої особи – реального кінцевого бенефіціарного власника (контролера) в інтересах останнього.</w:t>
            </w:r>
          </w:p>
        </w:tc>
      </w:tr>
      <w:tr w:rsidR="00B636F6" w:rsidRPr="00BE58CA" w:rsidTr="00BE58CA">
        <w:tblPrEx>
          <w:tblLook w:val="04A0" w:firstRow="1" w:lastRow="0" w:firstColumn="1" w:lastColumn="0" w:noHBand="0" w:noVBand="1"/>
        </w:tblPrEx>
        <w:trPr>
          <w:trHeight w:val="2823"/>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Пункт 43 статті 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підозра – припущення, що ґрунтується на результатах аналізу наявної інформації та може свідчити про те, що фінансова операція або її учасники, їх діяльність чи походження активів пов’язані із легалізацією (відмиванням) доходів, одержаних злочинним шляхом, фінансуванням тероризму та фінансуванням розповсюдження зброї масового знищення чи пов’язані із вчиненням іншого суспільно небезпечного діяння, яке визначене Кримінальним кодексом України як злочин або за яке передбачені міжнародні санкції.</w:t>
            </w:r>
          </w:p>
        </w:tc>
        <w:tc>
          <w:tcPr>
            <w:tcW w:w="4819" w:type="dxa"/>
          </w:tcPr>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center"/>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Уточнення визначення, яке чітко встановлює спосіб виконання даної норми суб’єктом первинного фінансового моніторингу.</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Доповнити словами: «ґрунтується на документально підтверджених фактах» та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підозра – припущення, що </w:t>
            </w:r>
            <w:r w:rsidRPr="006E7269">
              <w:rPr>
                <w:rFonts w:ascii="Times New Roman" w:hAnsi="Times New Roman" w:cs="Times New Roman"/>
                <w:sz w:val="20"/>
                <w:szCs w:val="20"/>
              </w:rPr>
              <w:t>ґрунтується на документально підтверджених фактах</w:t>
            </w:r>
            <w:r w:rsidRPr="00BE58CA">
              <w:rPr>
                <w:rFonts w:ascii="Times New Roman" w:hAnsi="Times New Roman" w:cs="Times New Roman"/>
                <w:sz w:val="20"/>
                <w:szCs w:val="20"/>
              </w:rPr>
              <w:t xml:space="preserve"> аналізу наявної інформації та може свідчити про те, що фінансова операція або її учасники, їх діяльність чи походження активів пов’язані із легалізацією (відмиванням) доходів, одержаних злочинним шляхом, фінансуванням тероризму та фінансуванням розповсюдження зброї масового знищення чи пов’язані із вчиненням іншого суспільно небезпечного діяння, яке визначене Кримінальним кодексом України як злочин або за яке передбачені міжнародні санкції.</w:t>
            </w:r>
          </w:p>
        </w:tc>
      </w:tr>
      <w:tr w:rsidR="00B636F6" w:rsidRPr="00BE58CA" w:rsidTr="005E1E70">
        <w:tblPrEx>
          <w:tblLook w:val="04A0" w:firstRow="1" w:lastRow="0" w:firstColumn="1" w:lastColumn="0" w:noHBand="0" w:noVBand="1"/>
        </w:tblPrEx>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Пункт 63 статті 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фінансова операція – будь-які дії щодо активів клієнта, вчинені за допомогою суб’єкта первинного фінансового моніторингу або про які стало відомо суб’єктам первинного фінансового моніторингу, зазначеним у підпунктах «а» – «д» пункту 7 частини другої статті 6 цього Закону, у рамках ділових відносин з клієнтом, суб’єктам державного фінансового моніторингу, Фонду гарантування вкладів фізичних осіб, правоохоронним та розвідувальним органами України в рамках виконання цього Закону.</w:t>
            </w: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Зменшення навантаження на суб’єктів первинного фінансового моніторингу та Державної служби фінансового моніторингу, оскільки згідно з редакцією даної норми СПФМ змушений здійснювати </w:t>
            </w:r>
            <w:r w:rsidRPr="00BE58CA">
              <w:rPr>
                <w:rFonts w:ascii="Times New Roman" w:hAnsi="Times New Roman" w:cs="Times New Roman"/>
                <w:sz w:val="20"/>
                <w:szCs w:val="20"/>
                <w:u w:val="single"/>
              </w:rPr>
              <w:t>повторний моніторинг операції та повторно подавати інформацію</w:t>
            </w:r>
            <w:r w:rsidRPr="00BE58CA">
              <w:rPr>
                <w:rFonts w:ascii="Times New Roman" w:hAnsi="Times New Roman" w:cs="Times New Roman"/>
                <w:sz w:val="20"/>
                <w:szCs w:val="20"/>
              </w:rPr>
              <w:t xml:space="preserve"> про порогові/підозрілі операції до ДСФМ (відповідно до вимог Проекту закону), навіть у випадку відсутності переходу права власності та розрахунків щодо активу.</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 xml:space="preserve">Доповнити словами: «крім операцій в межах рахунків суб’єкта первинного фінансового моніторингу, які не спричиняють переходу права власності» та викласти в такій редакції: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фінансова операція – будь-які дії щодо активів клієнта, вчинені за допомогою суб’єкта первинного фінансового моніторингу або про які стало відомо суб’єктам первинного фінансового моніторингу, зазначеним у підпунктах «а» – «д» пункту 7 частини другої статті 6 цього Закону, у рамках ділових відносин з клієнтом, суб’єктам державного фінансового моніторингу, Фонду гарантування вкладів фізичних осіб, правоохоронним та розвідувальним органами України в рамках виконання цього Закону, </w:t>
            </w:r>
            <w:r w:rsidRPr="006E7269">
              <w:rPr>
                <w:rFonts w:ascii="Times New Roman" w:hAnsi="Times New Roman" w:cs="Times New Roman"/>
                <w:sz w:val="20"/>
                <w:szCs w:val="20"/>
              </w:rPr>
              <w:t>крім операцій в межах рахунків суб’єкта первинного фінансового моніторингу, які не спричиняють переходу права власності.</w:t>
            </w:r>
          </w:p>
        </w:tc>
      </w:tr>
      <w:tr w:rsidR="00B636F6" w:rsidRPr="00BE58CA" w:rsidTr="00BE58CA">
        <w:tblPrEx>
          <w:tblLook w:val="04A0" w:firstRow="1" w:lastRow="0" w:firstColumn="1" w:lastColumn="0" w:noHBand="0" w:noVBand="1"/>
        </w:tblPrEx>
        <w:trPr>
          <w:trHeight w:val="558"/>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Пункт 4 ча</w:t>
            </w:r>
            <w:r w:rsidRPr="00BE58CA">
              <w:rPr>
                <w:rFonts w:ascii="Times New Roman" w:hAnsi="Times New Roman" w:cs="Times New Roman"/>
                <w:b/>
                <w:sz w:val="20"/>
                <w:szCs w:val="20"/>
                <w:lang w:val="ru-RU"/>
              </w:rPr>
              <w:t>с</w:t>
            </w:r>
            <w:r w:rsidRPr="00BE58CA">
              <w:rPr>
                <w:rFonts w:ascii="Times New Roman" w:hAnsi="Times New Roman" w:cs="Times New Roman"/>
                <w:b/>
                <w:sz w:val="20"/>
                <w:szCs w:val="20"/>
              </w:rPr>
              <w:t>тини 2 статті 8</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Суб’єкт первинного фінансового моніторингу зобов’язаний:</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4) здійснювати належну перевірку нових клієнтів, а також існуючих клієнтів.</w:t>
            </w: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Приведення даної норми у відповідність до частини 1 статті 7 Проекту закону та пункту 30  Директиви (ЄС) 2015/849 від 20 травня 2015 року, згідно з яким ризик є мінливим за своїм характером, і змінні фактори, самостійно чи в поєднанні, можуть збільшувати чи зменшувати потенційний ризик, впливаючи, таким чином, на відповідний рівень запобіжних заходів, таких як заходи з аналізу благонадійності клієнта. Отже, існують обставини, за яких повинен застосовуватися поглиблений аналіз благонадійності, і обставини, за яких може бути доречний спрощений аналіз благонадійності.</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Доповнити словами: «відповідно до рівня встановлених/виявлених ризиків» та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4) здійснювати належну перевірку нових клієнтів, а також існуючих клієнтів </w:t>
            </w:r>
            <w:r w:rsidRPr="006E7269">
              <w:rPr>
                <w:rFonts w:ascii="Times New Roman" w:hAnsi="Times New Roman" w:cs="Times New Roman"/>
                <w:sz w:val="20"/>
                <w:szCs w:val="20"/>
              </w:rPr>
              <w:t>відповідно до рівня встановлених/виявлених ризиків.</w:t>
            </w:r>
          </w:p>
        </w:tc>
      </w:tr>
      <w:tr w:rsidR="00B636F6" w:rsidRPr="00BE58CA" w:rsidTr="005E1E70">
        <w:tblPrEx>
          <w:tblLook w:val="04A0" w:firstRow="1" w:lastRow="0" w:firstColumn="1" w:lastColumn="0" w:noHBand="0" w:noVBand="1"/>
        </w:tblPrEx>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Пункт 17 частини 2 статті 8</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lastRenderedPageBreak/>
              <w:t xml:space="preserve">документувати заходи, вжиті з метою виконання вимог законодавства у сфері запобігання та протидії шляхом створення (ведення) відповідних документів (у тому числі електронних), записів у такий спосіб, </w:t>
            </w:r>
            <w:r w:rsidRPr="00BE58CA">
              <w:rPr>
                <w:rFonts w:ascii="Times New Roman" w:hAnsi="Times New Roman" w:cs="Times New Roman"/>
                <w:strike/>
                <w:sz w:val="20"/>
                <w:szCs w:val="20"/>
              </w:rPr>
              <w:t>щоб сприяти працівникам суб’єкта первинного фінансового моніторингу, залученим до проведення первинного фінансового моніторингу, найбільш раціонально та ефективно виконувати свої обов’язки та бути здатним довести суб’єкту державного фінансового моніторингу, що рішення, прийняті з метою дотримання вимог законодавства у сфері запобігання та протидії, зокрема, щодо оцінки ризиків, здійснення належної перевірки, моніторингу та повідомлення про фінансові операції, що підлягаю фінансовому моніторингу, ґрунтуються на змістовних фактах та результатах комплексного і належного аналізу.</w:t>
            </w: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Уточнення визначення, яке чітко встановлює спосіб виконання даної норми суб’єктом первинного фінансового моніторингу та приводить дану норму у відповідність до частини 1 статті 7 Проекту закону.</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lastRenderedPageBreak/>
              <w:t>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lastRenderedPageBreak/>
              <w:t>документувати заходи, вжиті з метою виконання вимог законодавства у сфері запобігання та протидії шляхом створення (ведення) відповідних документів (у тому числі електронних), записів у такий спосіб, щоб мати можливість належно застосовувати ризик-орієнтовний підхід та підтверджувати суб’єкту державного фінансового моніторингу належне виконання дій передбачених Законом.</w:t>
            </w:r>
          </w:p>
          <w:p w:rsidR="00B636F6" w:rsidRPr="00BE58CA" w:rsidRDefault="00B636F6" w:rsidP="005E1E70">
            <w:pPr>
              <w:jc w:val="both"/>
              <w:rPr>
                <w:rFonts w:ascii="Times New Roman" w:hAnsi="Times New Roman" w:cs="Times New Roman"/>
                <w:sz w:val="20"/>
                <w:szCs w:val="20"/>
              </w:rPr>
            </w:pPr>
          </w:p>
        </w:tc>
      </w:tr>
      <w:tr w:rsidR="00B636F6" w:rsidRPr="00BE58CA" w:rsidTr="00BE58CA">
        <w:tblPrEx>
          <w:tblLook w:val="04A0" w:firstRow="1" w:lastRow="0" w:firstColumn="1" w:lastColumn="0" w:noHBand="0" w:noVBand="1"/>
        </w:tblPrEx>
        <w:trPr>
          <w:trHeight w:val="2310"/>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Пункт 18 частини 2 статті 8</w:t>
            </w:r>
          </w:p>
          <w:p w:rsidR="00B636F6" w:rsidRPr="00BE58CA" w:rsidRDefault="00B636F6" w:rsidP="005E1E70">
            <w:pPr>
              <w:jc w:val="both"/>
              <w:rPr>
                <w:sz w:val="20"/>
                <w:szCs w:val="20"/>
              </w:rPr>
            </w:pPr>
            <w:r w:rsidRPr="00BE58CA">
              <w:rPr>
                <w:rFonts w:ascii="Times New Roman" w:hAnsi="Times New Roman" w:cs="Times New Roman"/>
                <w:sz w:val="20"/>
                <w:szCs w:val="20"/>
              </w:rPr>
              <w:t xml:space="preserve">усі документи, що стосуються ділових відносин (проведення фінансової операції) з клієнтом (включаючи ділову, зокрема внутрішню, кореспонденцію, листування, звіти, запити, </w:t>
            </w:r>
            <w:r w:rsidRPr="00BE58CA">
              <w:rPr>
                <w:rFonts w:ascii="Times New Roman" w:hAnsi="Times New Roman" w:cs="Times New Roman"/>
                <w:strike/>
                <w:sz w:val="20"/>
                <w:szCs w:val="20"/>
              </w:rPr>
              <w:t>результати будь-якого аналізу</w:t>
            </w:r>
            <w:r w:rsidRPr="00BE58CA">
              <w:rPr>
                <w:rFonts w:ascii="Times New Roman" w:hAnsi="Times New Roman" w:cs="Times New Roman"/>
                <w:sz w:val="20"/>
                <w:szCs w:val="20"/>
              </w:rPr>
              <w:t xml:space="preserve"> під час здійснення належної перевірки клієнта), не менше п’яти років після припинення ділових відносин з клієнтом або завершення разової фінансової операції без встановлення ділових відносин з клієнтом.</w:t>
            </w:r>
            <w:r w:rsidRPr="00BE58CA">
              <w:rPr>
                <w:sz w:val="20"/>
                <w:szCs w:val="20"/>
              </w:rPr>
              <w:t xml:space="preserve">  </w:t>
            </w: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Уточнення визначення, яке чітко встановлює спосіб виконання даної норми суб’єктом первинного фінансового моніторингу.</w:t>
            </w:r>
          </w:p>
        </w:tc>
        <w:tc>
          <w:tcPr>
            <w:tcW w:w="5494" w:type="dxa"/>
          </w:tcPr>
          <w:p w:rsidR="00B636F6" w:rsidRPr="00BE58CA" w:rsidRDefault="00B636F6" w:rsidP="005E1E70">
            <w:pPr>
              <w:rPr>
                <w:rFonts w:ascii="Times New Roman" w:hAnsi="Times New Roman" w:cs="Times New Roman"/>
                <w:sz w:val="20"/>
                <w:szCs w:val="20"/>
                <w:u w:val="single"/>
              </w:rPr>
            </w:pPr>
            <w:r w:rsidRPr="00BE58CA">
              <w:rPr>
                <w:rFonts w:ascii="Times New Roman" w:hAnsi="Times New Roman" w:cs="Times New Roman"/>
                <w:sz w:val="20"/>
                <w:szCs w:val="20"/>
                <w:u w:val="single"/>
              </w:rPr>
              <w:t>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усі документи, що стосуються ділових відносин (проведення фінансової операції) з клієнтом (включаючи ділову, зокрема внутрішню, кореспонденцію, листування, звіти, запити, </w:t>
            </w:r>
            <w:r w:rsidRPr="006E7269">
              <w:rPr>
                <w:rFonts w:ascii="Times New Roman" w:hAnsi="Times New Roman" w:cs="Times New Roman"/>
                <w:sz w:val="20"/>
                <w:szCs w:val="20"/>
              </w:rPr>
              <w:t>документально підтверджені результати аналізу</w:t>
            </w:r>
            <w:r w:rsidRPr="00BE58CA">
              <w:rPr>
                <w:rFonts w:ascii="Times New Roman" w:hAnsi="Times New Roman" w:cs="Times New Roman"/>
                <w:sz w:val="20"/>
                <w:szCs w:val="20"/>
              </w:rPr>
              <w:t xml:space="preserve"> під час здійснення належної перевірки клієнта), не менше п’яти років після припинення ділових відносин з клієнтом або завершення разової фінансової операції без встановлення ділових відносин з клієнтом.  </w:t>
            </w:r>
          </w:p>
        </w:tc>
      </w:tr>
      <w:tr w:rsidR="00B636F6" w:rsidRPr="00BE58CA" w:rsidTr="005E1E70">
        <w:tblPrEx>
          <w:tblLook w:val="04A0" w:firstRow="1" w:lastRow="0" w:firstColumn="1" w:lastColumn="0" w:noHBand="0" w:noVBand="1"/>
        </w:tblPrEx>
        <w:trPr>
          <w:trHeight w:val="416"/>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Пункт 7 статті 11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Суб’єкт первинного фінансового моніторингу відповідно до законодавства зобов’язаний на підставі офіційних документів або інформації, отриманої з офіційних та/або надійних джерел (якщо інше не передбачено цим Законом), здійснювати верифікацію.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Офіційні документи мають бути чинними (дійсними) на момент їх подання та включати всі необхідні ідентифікаційні дані. Копії офіційних документів, крім нотаріально засвідчених, на підставі яких суб’єкт первинного фінансового моніторингу здійснив верифікацію, засвідчуються в порядку, встановленому суб’єктом державного фінансового моніторингу, який відповідно до цього Закону </w:t>
            </w:r>
            <w:r w:rsidRPr="00BE58CA">
              <w:rPr>
                <w:rFonts w:ascii="Times New Roman" w:hAnsi="Times New Roman" w:cs="Times New Roman"/>
                <w:sz w:val="20"/>
                <w:szCs w:val="20"/>
              </w:rPr>
              <w:lastRenderedPageBreak/>
              <w:t>виконує функції державного регулювання та нагляду за відповідним суб’єктом первинного фінансового моніторингу.</w:t>
            </w: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lastRenderedPageBreak/>
              <w:t>Нова редакція даної статті надасть можливість СПФМ використувувати ширший спектр інструментів, необхідний для проведення  ідентифікації, верифікації та  встановлення кінцевого бенефіціарного власника (контролера).</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Нова редакція відповідає Рекомендаціям</w:t>
            </w:r>
            <w:r w:rsidRPr="00BE58CA">
              <w:rPr>
                <w:rFonts w:ascii="Times New Roman" w:hAnsi="Times New Roman" w:cs="Times New Roman"/>
                <w:sz w:val="20"/>
                <w:szCs w:val="20"/>
                <w:lang w:val="ru-RU"/>
              </w:rPr>
              <w:t xml:space="preserve"> </w:t>
            </w:r>
            <w:r w:rsidRPr="00BE58CA">
              <w:rPr>
                <w:rFonts w:ascii="Times New Roman" w:hAnsi="Times New Roman" w:cs="Times New Roman"/>
                <w:sz w:val="20"/>
                <w:szCs w:val="20"/>
                <w:lang w:val="en-US"/>
              </w:rPr>
              <w:t>FATF</w:t>
            </w:r>
            <w:r w:rsidRPr="00BE58CA">
              <w:rPr>
                <w:rFonts w:ascii="Times New Roman" w:hAnsi="Times New Roman" w:cs="Times New Roman"/>
                <w:sz w:val="20"/>
                <w:szCs w:val="20"/>
                <w:lang w:val="ru-RU"/>
              </w:rPr>
              <w:t>,</w:t>
            </w:r>
            <w:r w:rsidRPr="00BE58CA">
              <w:rPr>
                <w:rFonts w:ascii="Times New Roman" w:hAnsi="Times New Roman" w:cs="Times New Roman"/>
                <w:sz w:val="20"/>
                <w:szCs w:val="20"/>
              </w:rPr>
              <w:t xml:space="preserve">  Директиві (ЄС) 2015/849 від 20 травня 2015 року.</w:t>
            </w:r>
          </w:p>
        </w:tc>
        <w:tc>
          <w:tcPr>
            <w:tcW w:w="5494" w:type="dxa"/>
          </w:tcPr>
          <w:p w:rsidR="00B636F6" w:rsidRPr="00BE58CA" w:rsidRDefault="00B636F6" w:rsidP="005E1E70">
            <w:pPr>
              <w:rPr>
                <w:rFonts w:ascii="Times New Roman" w:hAnsi="Times New Roman" w:cs="Times New Roman"/>
                <w:sz w:val="20"/>
                <w:szCs w:val="20"/>
                <w:u w:val="single"/>
              </w:rPr>
            </w:pPr>
            <w:r w:rsidRPr="00BE58CA">
              <w:rPr>
                <w:rFonts w:ascii="Times New Roman" w:hAnsi="Times New Roman" w:cs="Times New Roman"/>
                <w:sz w:val="20"/>
                <w:szCs w:val="20"/>
                <w:u w:val="single"/>
              </w:rPr>
              <w:t>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7. Суб’єкт первинного фінансового моніторингу відповідно до законодавства зобов’язаний на підставі офіційних, </w:t>
            </w:r>
            <w:r w:rsidRPr="00BE58CA">
              <w:rPr>
                <w:rFonts w:ascii="Times New Roman" w:hAnsi="Times New Roman" w:cs="Times New Roman"/>
                <w:b/>
                <w:sz w:val="20"/>
                <w:szCs w:val="20"/>
              </w:rPr>
              <w:t>електронних</w:t>
            </w:r>
            <w:r w:rsidRPr="00BE58CA">
              <w:rPr>
                <w:rFonts w:ascii="Times New Roman" w:hAnsi="Times New Roman" w:cs="Times New Roman"/>
                <w:sz w:val="20"/>
                <w:szCs w:val="20"/>
              </w:rPr>
              <w:t xml:space="preserve"> документів отриманих від клієнта, агента, третіх сторін та/або інформації/</w:t>
            </w:r>
            <w:r w:rsidRPr="00BE58CA">
              <w:rPr>
                <w:rFonts w:ascii="Times New Roman" w:hAnsi="Times New Roman" w:cs="Times New Roman"/>
                <w:b/>
                <w:sz w:val="20"/>
                <w:szCs w:val="20"/>
              </w:rPr>
              <w:t>даних</w:t>
            </w:r>
            <w:r w:rsidRPr="00BE58CA">
              <w:rPr>
                <w:rFonts w:ascii="Times New Roman" w:hAnsi="Times New Roman" w:cs="Times New Roman"/>
                <w:sz w:val="20"/>
                <w:szCs w:val="20"/>
              </w:rPr>
              <w:t>, отриманих з офіційних/надійних джерел, здійснювати верифікацію</w:t>
            </w:r>
            <w:r w:rsidR="006C5854" w:rsidRPr="00BE58CA">
              <w:rPr>
                <w:rFonts w:ascii="Times New Roman" w:hAnsi="Times New Roman" w:cs="Times New Roman"/>
                <w:sz w:val="20"/>
                <w:szCs w:val="20"/>
              </w:rPr>
              <w:t>.</w:t>
            </w:r>
          </w:p>
          <w:p w:rsidR="00B636F6" w:rsidRPr="00BE58CA" w:rsidRDefault="00B636F6" w:rsidP="006C5854">
            <w:pPr>
              <w:jc w:val="both"/>
              <w:rPr>
                <w:rFonts w:ascii="Times New Roman" w:hAnsi="Times New Roman" w:cs="Times New Roman"/>
                <w:sz w:val="20"/>
                <w:szCs w:val="20"/>
              </w:rPr>
            </w:pPr>
            <w:r w:rsidRPr="00BE58CA">
              <w:rPr>
                <w:rFonts w:ascii="Times New Roman" w:hAnsi="Times New Roman" w:cs="Times New Roman"/>
                <w:sz w:val="20"/>
                <w:szCs w:val="20"/>
              </w:rPr>
              <w:t xml:space="preserve">Документи мають бути чинними (дійсними) на момент </w:t>
            </w:r>
            <w:r w:rsidR="006C5854" w:rsidRPr="00BE58CA">
              <w:rPr>
                <w:rFonts w:ascii="Times New Roman" w:hAnsi="Times New Roman" w:cs="Times New Roman"/>
                <w:sz w:val="20"/>
                <w:szCs w:val="20"/>
              </w:rPr>
              <w:t>їх подання</w:t>
            </w:r>
            <w:r w:rsidRPr="00BE58CA">
              <w:rPr>
                <w:rFonts w:ascii="Times New Roman" w:hAnsi="Times New Roman" w:cs="Times New Roman"/>
                <w:sz w:val="20"/>
                <w:szCs w:val="20"/>
              </w:rPr>
              <w:t xml:space="preserve"> і включати всі необхідні ідентифікаційні дані. Документи, інформація та/або дані на підставі яких суб’єкт первинного фінансового моніторингу здійснив  верифікацію, засвідчуються в порядку, встановленому суб’єктом державного фінансового моніторингу, який відповідно до цього Закону виконує функції державного регулювання та </w:t>
            </w:r>
            <w:r w:rsidRPr="00BE58CA">
              <w:rPr>
                <w:rFonts w:ascii="Times New Roman" w:hAnsi="Times New Roman" w:cs="Times New Roman"/>
                <w:sz w:val="20"/>
                <w:szCs w:val="20"/>
              </w:rPr>
              <w:lastRenderedPageBreak/>
              <w:t>нагляду за відповідним суб’єктом первинного фінансового моніторингу.</w:t>
            </w:r>
          </w:p>
        </w:tc>
      </w:tr>
      <w:tr w:rsidR="00B636F6" w:rsidRPr="00BE58CA" w:rsidTr="005E1E70">
        <w:tblPrEx>
          <w:tblLook w:val="04A0" w:firstRow="1" w:lastRow="0" w:firstColumn="1" w:lastColumn="0" w:noHBand="0" w:noVBand="1"/>
        </w:tblPrEx>
        <w:trPr>
          <w:trHeight w:val="2024"/>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Частина 14</w:t>
            </w:r>
            <w:r w:rsidRPr="00BE58CA">
              <w:rPr>
                <w:rFonts w:ascii="Times New Roman" w:hAnsi="Times New Roman" w:cs="Times New Roman"/>
                <w:b/>
                <w:sz w:val="20"/>
                <w:szCs w:val="20"/>
                <w:vertAlign w:val="superscript"/>
              </w:rPr>
              <w:t>1</w:t>
            </w:r>
            <w:r w:rsidRPr="00BE58CA">
              <w:rPr>
                <w:rFonts w:ascii="Times New Roman" w:hAnsi="Times New Roman" w:cs="Times New Roman"/>
                <w:b/>
                <w:sz w:val="20"/>
                <w:szCs w:val="20"/>
              </w:rPr>
              <w:t xml:space="preserve"> статті 11</w:t>
            </w:r>
          </w:p>
          <w:p w:rsidR="00B636F6" w:rsidRPr="00BE58CA" w:rsidRDefault="00B636F6" w:rsidP="005E1E70">
            <w:pPr>
              <w:jc w:val="center"/>
              <w:rPr>
                <w:rFonts w:ascii="Times New Roman" w:hAnsi="Times New Roman" w:cs="Times New Roman"/>
                <w:b/>
                <w:sz w:val="20"/>
                <w:szCs w:val="20"/>
                <w:lang w:val="ru-RU"/>
              </w:rPr>
            </w:pPr>
          </w:p>
          <w:p w:rsidR="00B636F6" w:rsidRPr="00BE58CA" w:rsidRDefault="00B636F6" w:rsidP="005E1E70">
            <w:pPr>
              <w:rPr>
                <w:rFonts w:ascii="Times New Roman" w:hAnsi="Times New Roman" w:cs="Times New Roman"/>
                <w:b/>
                <w:sz w:val="20"/>
                <w:szCs w:val="20"/>
                <w:lang w:val="ru-RU"/>
              </w:rPr>
            </w:pPr>
          </w:p>
          <w:p w:rsidR="00B636F6" w:rsidRPr="00BE58CA" w:rsidRDefault="00B636F6" w:rsidP="005E1E70">
            <w:pPr>
              <w:rPr>
                <w:rFonts w:ascii="Times New Roman" w:hAnsi="Times New Roman" w:cs="Times New Roman"/>
                <w:b/>
                <w:sz w:val="20"/>
                <w:szCs w:val="20"/>
                <w:lang w:val="ru-RU"/>
              </w:rPr>
            </w:pPr>
          </w:p>
          <w:p w:rsidR="00B636F6" w:rsidRPr="00BE58CA" w:rsidRDefault="00B636F6" w:rsidP="005E1E70">
            <w:pPr>
              <w:rPr>
                <w:rFonts w:ascii="Times New Roman" w:hAnsi="Times New Roman" w:cs="Times New Roman"/>
                <w:b/>
                <w:sz w:val="20"/>
                <w:szCs w:val="20"/>
                <w:lang w:val="ru-RU"/>
              </w:rPr>
            </w:pPr>
          </w:p>
          <w:p w:rsidR="006C5854" w:rsidRPr="00BE58CA" w:rsidRDefault="006C5854" w:rsidP="005E1E70">
            <w:pPr>
              <w:jc w:val="center"/>
              <w:rPr>
                <w:rFonts w:ascii="Times New Roman" w:hAnsi="Times New Roman" w:cs="Times New Roman"/>
                <w:b/>
                <w:sz w:val="20"/>
                <w:szCs w:val="20"/>
              </w:rPr>
            </w:pPr>
          </w:p>
          <w:p w:rsidR="006C5854" w:rsidRPr="00BE58CA" w:rsidRDefault="006C5854"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Відсутня</w:t>
            </w: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Запропонована норма відповідає  Директиві (ЄС) 2015/849 від 20 травня 2015 року, зокрема пункту 35, яка дозволяє СПФМ використовувати інформацію/дані, що отримані від агентів або третіх сторін.</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Додати частину 14</w:t>
            </w:r>
            <w:r w:rsidRPr="00BE58CA">
              <w:rPr>
                <w:rFonts w:ascii="Times New Roman" w:hAnsi="Times New Roman" w:cs="Times New Roman"/>
                <w:sz w:val="20"/>
                <w:szCs w:val="20"/>
                <w:u w:val="single"/>
                <w:vertAlign w:val="superscript"/>
              </w:rPr>
              <w:t>1</w:t>
            </w:r>
            <w:r w:rsidRPr="00BE58CA">
              <w:rPr>
                <w:rFonts w:ascii="Times New Roman" w:hAnsi="Times New Roman" w:cs="Times New Roman"/>
                <w:sz w:val="20"/>
                <w:szCs w:val="20"/>
                <w:u w:val="single"/>
              </w:rPr>
              <w:t xml:space="preserve"> та викласти в такій редакції:</w:t>
            </w:r>
          </w:p>
          <w:p w:rsidR="00B26DAA" w:rsidRPr="00BE58CA" w:rsidRDefault="00B636F6" w:rsidP="00052B4A">
            <w:pPr>
              <w:jc w:val="both"/>
              <w:rPr>
                <w:rFonts w:ascii="Times New Roman" w:hAnsi="Times New Roman" w:cs="Times New Roman"/>
                <w:sz w:val="20"/>
                <w:szCs w:val="20"/>
              </w:rPr>
            </w:pPr>
            <w:r w:rsidRPr="00BE58CA">
              <w:rPr>
                <w:rFonts w:ascii="Times New Roman" w:hAnsi="Times New Roman" w:cs="Times New Roman"/>
                <w:sz w:val="20"/>
                <w:szCs w:val="20"/>
              </w:rPr>
              <w:t xml:space="preserve">З метою уникнення повторних процедур належної перевірки клієнтів, суб’єкт первинного фінансового моніторингу має право використовувати інформацію щодо ідентифікації, верифікації клієнтів, встановлення їх кінцевих бенефіціарних власників (контролерів), </w:t>
            </w:r>
            <w:r w:rsidR="00B26DAA" w:rsidRPr="00BE58CA">
              <w:rPr>
                <w:rFonts w:ascii="Times New Roman" w:hAnsi="Times New Roman" w:cs="Times New Roman"/>
                <w:sz w:val="20"/>
                <w:szCs w:val="20"/>
              </w:rPr>
              <w:t>що</w:t>
            </w:r>
            <w:r w:rsidRPr="00BE58CA">
              <w:rPr>
                <w:rFonts w:ascii="Times New Roman" w:hAnsi="Times New Roman" w:cs="Times New Roman"/>
                <w:sz w:val="20"/>
                <w:szCs w:val="20"/>
              </w:rPr>
              <w:t xml:space="preserve"> отримана від </w:t>
            </w:r>
            <w:r w:rsidR="008B238D" w:rsidRPr="00BE58CA">
              <w:rPr>
                <w:rFonts w:ascii="Times New Roman" w:hAnsi="Times New Roman" w:cs="Times New Roman"/>
                <w:sz w:val="20"/>
                <w:szCs w:val="20"/>
              </w:rPr>
              <w:t xml:space="preserve">агента та/або </w:t>
            </w:r>
            <w:r w:rsidRPr="00BE58CA">
              <w:rPr>
                <w:rFonts w:ascii="Times New Roman" w:hAnsi="Times New Roman" w:cs="Times New Roman"/>
                <w:sz w:val="20"/>
                <w:szCs w:val="20"/>
              </w:rPr>
              <w:t>третьої сторони</w:t>
            </w:r>
            <w:r w:rsidR="008B238D" w:rsidRPr="00BE58CA">
              <w:rPr>
                <w:rFonts w:ascii="Times New Roman" w:hAnsi="Times New Roman" w:cs="Times New Roman"/>
                <w:sz w:val="20"/>
                <w:szCs w:val="20"/>
              </w:rPr>
              <w:t>, які</w:t>
            </w:r>
            <w:r w:rsidRPr="00BE58CA">
              <w:rPr>
                <w:rFonts w:ascii="Times New Roman" w:hAnsi="Times New Roman" w:cs="Times New Roman"/>
                <w:sz w:val="20"/>
                <w:szCs w:val="20"/>
              </w:rPr>
              <w:t xml:space="preserve"> є резидент</w:t>
            </w:r>
            <w:r w:rsidR="008B238D" w:rsidRPr="00BE58CA">
              <w:rPr>
                <w:rFonts w:ascii="Times New Roman" w:hAnsi="Times New Roman" w:cs="Times New Roman"/>
                <w:sz w:val="20"/>
                <w:szCs w:val="20"/>
              </w:rPr>
              <w:t>ами</w:t>
            </w:r>
            <w:r w:rsidRPr="00BE58CA">
              <w:rPr>
                <w:rFonts w:ascii="Times New Roman" w:hAnsi="Times New Roman" w:cs="Times New Roman"/>
                <w:sz w:val="20"/>
                <w:szCs w:val="20"/>
              </w:rPr>
              <w:t xml:space="preserve"> або </w:t>
            </w:r>
            <w:r w:rsidR="008B238D" w:rsidRPr="00BE58CA">
              <w:rPr>
                <w:rFonts w:ascii="Times New Roman" w:hAnsi="Times New Roman" w:cs="Times New Roman"/>
                <w:sz w:val="20"/>
                <w:szCs w:val="20"/>
              </w:rPr>
              <w:t xml:space="preserve"> зареєстровані</w:t>
            </w:r>
            <w:r w:rsidRPr="00BE58CA">
              <w:rPr>
                <w:rFonts w:ascii="Times New Roman" w:hAnsi="Times New Roman" w:cs="Times New Roman"/>
                <w:sz w:val="20"/>
                <w:szCs w:val="20"/>
              </w:rPr>
              <w:t xml:space="preserve"> в державах – членах Групи з розробки фінансових заходів боротьб</w:t>
            </w:r>
            <w:r w:rsidR="008B238D" w:rsidRPr="00BE58CA">
              <w:rPr>
                <w:rFonts w:ascii="Times New Roman" w:hAnsi="Times New Roman" w:cs="Times New Roman"/>
                <w:sz w:val="20"/>
                <w:szCs w:val="20"/>
              </w:rPr>
              <w:t>и з відмиванням грошей (FATF)</w:t>
            </w:r>
            <w:r w:rsidR="008F0322" w:rsidRPr="00BE58CA">
              <w:rPr>
                <w:rFonts w:ascii="Times New Roman" w:hAnsi="Times New Roman" w:cs="Times New Roman"/>
                <w:sz w:val="20"/>
                <w:szCs w:val="20"/>
              </w:rPr>
              <w:t xml:space="preserve">  (крім держав, які визнані країною-агресором відповідно до національного законодавства та актів міжнародних організацій, міждержавних об’єднань, членом (учасником) яких є Україна)</w:t>
            </w:r>
            <w:r w:rsidR="008B238D" w:rsidRPr="00BE58CA">
              <w:rPr>
                <w:rFonts w:ascii="Times New Roman" w:hAnsi="Times New Roman" w:cs="Times New Roman"/>
                <w:sz w:val="20"/>
                <w:szCs w:val="20"/>
              </w:rPr>
              <w:t xml:space="preserve"> та </w:t>
            </w:r>
            <w:r w:rsidR="00052B4A" w:rsidRPr="00BE58CA">
              <w:rPr>
                <w:rFonts w:ascii="Times New Roman" w:hAnsi="Times New Roman" w:cs="Times New Roman"/>
                <w:sz w:val="20"/>
                <w:szCs w:val="20"/>
              </w:rPr>
              <w:t>відповідають вимогам, встановленим  суб’єктами державного фінансового моніторингу, які відповідно до цього Закону виконують функції державного регулювання і нагляду за відповідними суб’єктами первинного фінансового моніторингу.</w:t>
            </w:r>
          </w:p>
        </w:tc>
      </w:tr>
      <w:tr w:rsidR="00B636F6" w:rsidRPr="00BE58CA" w:rsidTr="005E1E70">
        <w:tblPrEx>
          <w:tblLook w:val="04A0" w:firstRow="1" w:lastRow="0" w:firstColumn="1" w:lastColumn="0" w:noHBand="0" w:noVBand="1"/>
        </w:tblPrEx>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Абзац 2 частини 14 статті 11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Ідентифікація та верифікація клієнта не здійснюються у разі вчинення правочинів між банками, зареєстрованими в Україні.</w:t>
            </w:r>
          </w:p>
        </w:tc>
        <w:tc>
          <w:tcPr>
            <w:tcW w:w="4819" w:type="dxa"/>
          </w:tcPr>
          <w:p w:rsidR="00052B4A" w:rsidRPr="00BE58CA" w:rsidRDefault="00052B4A" w:rsidP="00052B4A">
            <w:pPr>
              <w:jc w:val="both"/>
              <w:rPr>
                <w:rFonts w:ascii="Times New Roman" w:hAnsi="Times New Roman" w:cs="Times New Roman"/>
                <w:sz w:val="20"/>
                <w:szCs w:val="20"/>
              </w:rPr>
            </w:pPr>
            <w:r w:rsidRPr="00BE58CA">
              <w:rPr>
                <w:rFonts w:ascii="Times New Roman" w:hAnsi="Times New Roman" w:cs="Times New Roman"/>
                <w:sz w:val="20"/>
                <w:szCs w:val="20"/>
              </w:rPr>
              <w:t>Найбільшими групами фінансових установ в Україні є: банки, профучасники та страховики.</w:t>
            </w:r>
          </w:p>
          <w:p w:rsidR="00052B4A" w:rsidRPr="00BE58CA" w:rsidRDefault="00052B4A" w:rsidP="00052B4A">
            <w:pPr>
              <w:jc w:val="both"/>
              <w:rPr>
                <w:rFonts w:ascii="Times New Roman" w:hAnsi="Times New Roman" w:cs="Times New Roman"/>
                <w:sz w:val="20"/>
                <w:szCs w:val="20"/>
              </w:rPr>
            </w:pPr>
            <w:r w:rsidRPr="00BE58CA">
              <w:rPr>
                <w:rFonts w:ascii="Times New Roman" w:hAnsi="Times New Roman" w:cs="Times New Roman"/>
                <w:sz w:val="20"/>
                <w:szCs w:val="20"/>
              </w:rPr>
              <w:t>До кожної групи встановлені високі вимоги та здійснюється регулярний і належний нагляд відповідними органами.</w:t>
            </w:r>
          </w:p>
          <w:p w:rsidR="00052B4A" w:rsidRPr="00BE58CA" w:rsidRDefault="00052B4A" w:rsidP="00052B4A">
            <w:pPr>
              <w:jc w:val="both"/>
              <w:rPr>
                <w:rFonts w:ascii="Times New Roman" w:hAnsi="Times New Roman" w:cs="Times New Roman"/>
                <w:sz w:val="20"/>
                <w:szCs w:val="20"/>
              </w:rPr>
            </w:pPr>
            <w:r w:rsidRPr="00BE58CA">
              <w:rPr>
                <w:rFonts w:ascii="Times New Roman" w:hAnsi="Times New Roman" w:cs="Times New Roman"/>
                <w:sz w:val="20"/>
                <w:szCs w:val="20"/>
              </w:rPr>
              <w:t>З прийняттям Законів «Про валюту і валютне регулювання», «Про внесення змін до деяких законодавчих актів України щодо сприяння залученню іноземних інвестицій» (про номінального утримувача), інтерес національного та іноземного інвестора до фондового ринку України значно пожвавиться.</w:t>
            </w:r>
          </w:p>
          <w:p w:rsidR="00052B4A" w:rsidRPr="00BE58CA" w:rsidRDefault="00052B4A" w:rsidP="00052B4A">
            <w:pPr>
              <w:jc w:val="both"/>
              <w:rPr>
                <w:rFonts w:ascii="Times New Roman" w:hAnsi="Times New Roman" w:cs="Times New Roman"/>
                <w:sz w:val="20"/>
                <w:szCs w:val="20"/>
              </w:rPr>
            </w:pPr>
            <w:r w:rsidRPr="00BE58CA">
              <w:rPr>
                <w:rFonts w:ascii="Times New Roman" w:hAnsi="Times New Roman" w:cs="Times New Roman"/>
                <w:sz w:val="20"/>
                <w:szCs w:val="20"/>
              </w:rPr>
              <w:t>Ринок страховиків на сьогодні є стабільним та демонструє показники зростання об’єму надання фінансових послуг.</w:t>
            </w:r>
          </w:p>
          <w:p w:rsidR="00052B4A" w:rsidRPr="00BE58CA" w:rsidRDefault="00052B4A" w:rsidP="00052B4A">
            <w:pPr>
              <w:jc w:val="both"/>
              <w:rPr>
                <w:rFonts w:ascii="Times New Roman" w:hAnsi="Times New Roman" w:cs="Times New Roman"/>
                <w:sz w:val="20"/>
                <w:szCs w:val="20"/>
              </w:rPr>
            </w:pPr>
            <w:r w:rsidRPr="00BE58CA">
              <w:rPr>
                <w:rFonts w:ascii="Times New Roman" w:hAnsi="Times New Roman" w:cs="Times New Roman"/>
                <w:sz w:val="20"/>
                <w:szCs w:val="20"/>
              </w:rPr>
              <w:t>Зараз обидві групи демонструють реальні тенденції до зростання обсягів надання послуг, тому на сьогодні відсутні підстави виділяти банки від даних фінустанов та встановлювати щодо них окремі вимоги по ідентифікації та верифікації.</w:t>
            </w:r>
          </w:p>
          <w:p w:rsidR="008B238D" w:rsidRPr="00BE58CA" w:rsidRDefault="008B238D" w:rsidP="00052B4A">
            <w:pPr>
              <w:jc w:val="both"/>
              <w:rPr>
                <w:rFonts w:ascii="Times New Roman" w:hAnsi="Times New Roman" w:cs="Times New Roman"/>
                <w:sz w:val="20"/>
                <w:szCs w:val="20"/>
              </w:rPr>
            </w:pPr>
          </w:p>
        </w:tc>
        <w:tc>
          <w:tcPr>
            <w:tcW w:w="5494" w:type="dxa"/>
          </w:tcPr>
          <w:p w:rsidR="00B636F6" w:rsidRPr="00BE58CA" w:rsidRDefault="00B636F6" w:rsidP="004B4135">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Доповнити словами: «професійними учасниками фондового ринку, страховиками» та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Ідентифікація та верифікація клієнта не здійснюються у разі вчинення правочинів між банками, професійними учасниками фондового ринку та страховиками, якщо такі юридичні особи зареєстровані в Україні.</w:t>
            </w:r>
          </w:p>
          <w:p w:rsidR="00B26DAA" w:rsidRPr="00BE58CA" w:rsidRDefault="00B26DAA" w:rsidP="00052B4A">
            <w:pPr>
              <w:jc w:val="both"/>
              <w:rPr>
                <w:rFonts w:ascii="Times New Roman" w:hAnsi="Times New Roman" w:cs="Times New Roman"/>
                <w:sz w:val="20"/>
                <w:szCs w:val="20"/>
              </w:rPr>
            </w:pPr>
          </w:p>
        </w:tc>
      </w:tr>
      <w:tr w:rsidR="00B636F6" w:rsidRPr="00BE58CA" w:rsidTr="005E1E70">
        <w:tblPrEx>
          <w:tblLook w:val="04A0" w:firstRow="1" w:lastRow="0" w:firstColumn="1" w:lastColumn="0" w:noHBand="0" w:noVBand="1"/>
        </w:tblPrEx>
        <w:trPr>
          <w:trHeight w:val="10196"/>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Частина 15 статті 11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Нормативно-правовими актами суб’єктів державного фінансового моніторингу, які відповідно до цього Закону виконують функції державного регулювання і нагляду за відповідними суб’єктами первинного фінансового моніторингу, </w:t>
            </w:r>
            <w:r w:rsidRPr="00BE58CA">
              <w:rPr>
                <w:rFonts w:ascii="Times New Roman" w:hAnsi="Times New Roman" w:cs="Times New Roman"/>
                <w:strike/>
                <w:sz w:val="20"/>
                <w:szCs w:val="20"/>
              </w:rPr>
              <w:t>може визначатися</w:t>
            </w:r>
            <w:r w:rsidRPr="00BE58CA">
              <w:rPr>
                <w:rFonts w:ascii="Times New Roman" w:hAnsi="Times New Roman" w:cs="Times New Roman"/>
                <w:sz w:val="20"/>
                <w:szCs w:val="20"/>
              </w:rPr>
              <w:t xml:space="preserve"> перелік ідентифікаційних даних, які з’ясовуються суб’єктами первинного фінансового моніторингу, у разі:</w:t>
            </w:r>
          </w:p>
          <w:p w:rsidR="00B636F6" w:rsidRPr="00BE58CA" w:rsidRDefault="00B636F6" w:rsidP="005E1E70">
            <w:pPr>
              <w:ind w:firstLine="29"/>
              <w:jc w:val="both"/>
              <w:rPr>
                <w:rFonts w:ascii="Times New Roman" w:hAnsi="Times New Roman" w:cs="Times New Roman"/>
                <w:sz w:val="20"/>
                <w:szCs w:val="20"/>
              </w:rPr>
            </w:pPr>
            <w:r w:rsidRPr="00BE58CA">
              <w:rPr>
                <w:rFonts w:ascii="Times New Roman" w:hAnsi="Times New Roman" w:cs="Times New Roman"/>
                <w:sz w:val="20"/>
                <w:szCs w:val="20"/>
              </w:rPr>
              <w:t xml:space="preserve">      встановлення ділових відносин або проведення фінансової операції, якщо клієнтом виступає орган державної влади, підприємство, що повністю перебуває у державній власності, міжнародна установа чи організація, в яких бере участь Україна відповідно до міжнародних договорів України, згода на обов’язковість яких надана Верховною Радою України; </w:t>
            </w:r>
          </w:p>
          <w:p w:rsidR="00B636F6" w:rsidRPr="00BE58CA" w:rsidRDefault="00B636F6" w:rsidP="005E1E70">
            <w:pPr>
              <w:ind w:firstLine="29"/>
              <w:jc w:val="both"/>
              <w:rPr>
                <w:rFonts w:ascii="Times New Roman" w:hAnsi="Times New Roman" w:cs="Times New Roman"/>
                <w:sz w:val="20"/>
                <w:szCs w:val="20"/>
              </w:rPr>
            </w:pPr>
            <w:r w:rsidRPr="00BE58CA">
              <w:rPr>
                <w:rFonts w:ascii="Times New Roman" w:hAnsi="Times New Roman" w:cs="Times New Roman"/>
                <w:sz w:val="20"/>
                <w:szCs w:val="20"/>
              </w:rPr>
              <w:t xml:space="preserve">     проведення фінансової операції на фондовій біржі; </w:t>
            </w:r>
          </w:p>
          <w:p w:rsidR="00B636F6" w:rsidRPr="00BE58CA" w:rsidRDefault="00B636F6" w:rsidP="005E1E70">
            <w:pPr>
              <w:ind w:firstLine="29"/>
              <w:jc w:val="both"/>
              <w:rPr>
                <w:rFonts w:ascii="Times New Roman" w:hAnsi="Times New Roman" w:cs="Times New Roman"/>
                <w:sz w:val="20"/>
                <w:szCs w:val="20"/>
              </w:rPr>
            </w:pPr>
            <w:r w:rsidRPr="00BE58CA">
              <w:rPr>
                <w:rFonts w:ascii="Times New Roman" w:hAnsi="Times New Roman" w:cs="Times New Roman"/>
                <w:sz w:val="20"/>
                <w:szCs w:val="20"/>
              </w:rPr>
              <w:t xml:space="preserve">     проведення страхового відшкодування або страхової виплати за договором міжнародного обов’язкового страхування цивільно-правової відповідальності; </w:t>
            </w:r>
          </w:p>
          <w:p w:rsidR="00B636F6" w:rsidRPr="00BE58CA" w:rsidRDefault="00B636F6" w:rsidP="005E1E70">
            <w:pPr>
              <w:ind w:firstLine="313"/>
              <w:jc w:val="both"/>
              <w:rPr>
                <w:rFonts w:ascii="Times New Roman" w:hAnsi="Times New Roman" w:cs="Times New Roman"/>
                <w:sz w:val="20"/>
                <w:szCs w:val="20"/>
              </w:rPr>
            </w:pPr>
            <w:r w:rsidRPr="00BE58CA">
              <w:rPr>
                <w:rFonts w:ascii="Times New Roman" w:hAnsi="Times New Roman" w:cs="Times New Roman"/>
                <w:sz w:val="20"/>
                <w:szCs w:val="20"/>
              </w:rPr>
              <w:t xml:space="preserve">встановлення ділових відносин або проведення фінансової операції, якщо клієнтом виступає установа, орган, офіс або агентство Європейського Союзу; </w:t>
            </w:r>
          </w:p>
          <w:p w:rsidR="00B636F6" w:rsidRPr="00BE58CA" w:rsidRDefault="00B636F6" w:rsidP="005E1E70">
            <w:pPr>
              <w:ind w:firstLine="313"/>
              <w:jc w:val="both"/>
              <w:rPr>
                <w:rFonts w:ascii="Times New Roman" w:hAnsi="Times New Roman" w:cs="Times New Roman"/>
                <w:sz w:val="20"/>
                <w:szCs w:val="20"/>
              </w:rPr>
            </w:pPr>
            <w:r w:rsidRPr="00BE58CA">
              <w:rPr>
                <w:rFonts w:ascii="Times New Roman" w:hAnsi="Times New Roman" w:cs="Times New Roman"/>
                <w:sz w:val="20"/>
                <w:szCs w:val="20"/>
              </w:rPr>
              <w:t xml:space="preserve">встановлення ділових відносин або проведення фінансової операції, якщо клієнтом виступає дипломатичне представництво іноземної держави, акредитоване в Україні в установленому порядку; </w:t>
            </w:r>
          </w:p>
          <w:p w:rsidR="00B636F6" w:rsidRPr="00BE58CA" w:rsidRDefault="00B636F6" w:rsidP="005E1E70">
            <w:pPr>
              <w:ind w:firstLine="313"/>
              <w:jc w:val="both"/>
              <w:rPr>
                <w:rFonts w:ascii="Times New Roman" w:hAnsi="Times New Roman" w:cs="Times New Roman"/>
                <w:sz w:val="20"/>
                <w:szCs w:val="20"/>
              </w:rPr>
            </w:pPr>
            <w:r w:rsidRPr="00BE58CA">
              <w:rPr>
                <w:rFonts w:ascii="Times New Roman" w:hAnsi="Times New Roman" w:cs="Times New Roman"/>
                <w:sz w:val="20"/>
                <w:szCs w:val="20"/>
              </w:rPr>
              <w:t>встановлення ділових відносин з клієнтом, який є емітентом,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w:t>
            </w: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6C5854" w:rsidRPr="00BE58CA" w:rsidRDefault="006C5854"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Запропонована редакція</w:t>
            </w:r>
            <w:r w:rsidRPr="00BE58CA">
              <w:rPr>
                <w:rFonts w:ascii="Times New Roman" w:hAnsi="Times New Roman" w:cs="Times New Roman"/>
                <w:sz w:val="20"/>
                <w:szCs w:val="20"/>
                <w:lang w:val="ru-RU"/>
              </w:rPr>
              <w:t xml:space="preserve"> норми</w:t>
            </w:r>
            <w:r w:rsidRPr="00BE58CA">
              <w:rPr>
                <w:rFonts w:ascii="Times New Roman" w:hAnsi="Times New Roman" w:cs="Times New Roman"/>
                <w:sz w:val="20"/>
                <w:szCs w:val="20"/>
              </w:rPr>
              <w:t xml:space="preserve"> направлена на сприяння розвитку діяльності СПФМ суб’єктами державного фінансового моніторингу та неможливості уникнення правового регулювання питань, які є необхідними у діяльності суб’єктами первинного фінансового моніторингу.</w:t>
            </w:r>
          </w:p>
        </w:tc>
        <w:tc>
          <w:tcPr>
            <w:tcW w:w="5494" w:type="dxa"/>
          </w:tcPr>
          <w:p w:rsidR="00877A95" w:rsidRPr="00BE58CA" w:rsidRDefault="00877A95"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Виключити слова «може визначатися».</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u w:val="single"/>
              </w:rPr>
              <w:t>Доповнити словами:</w:t>
            </w:r>
            <w:r w:rsidRPr="00BE58CA">
              <w:rPr>
                <w:rFonts w:ascii="Times New Roman" w:hAnsi="Times New Roman" w:cs="Times New Roman"/>
                <w:sz w:val="20"/>
                <w:szCs w:val="20"/>
              </w:rPr>
              <w:t xml:space="preserve"> «</w:t>
            </w:r>
            <w:r w:rsidR="00877A95" w:rsidRPr="00BE58CA">
              <w:rPr>
                <w:rFonts w:ascii="Times New Roman" w:hAnsi="Times New Roman" w:cs="Times New Roman"/>
                <w:sz w:val="20"/>
                <w:szCs w:val="20"/>
              </w:rPr>
              <w:t>визначається</w:t>
            </w:r>
            <w:r w:rsidRPr="00BE58CA">
              <w:rPr>
                <w:rFonts w:ascii="Times New Roman" w:hAnsi="Times New Roman" w:cs="Times New Roman"/>
                <w:sz w:val="20"/>
                <w:szCs w:val="20"/>
              </w:rPr>
              <w:t>» та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Суб’єкти державного фінансового моніторингу, які відповідно до цього Закону виконують функції державного регулювання і нагляду за відповідними суб’єктами первинного фінансового моніторингу, </w:t>
            </w:r>
            <w:r w:rsidR="00877A95" w:rsidRPr="00BE58CA">
              <w:rPr>
                <w:rFonts w:ascii="Times New Roman" w:hAnsi="Times New Roman" w:cs="Times New Roman"/>
                <w:b/>
                <w:sz w:val="20"/>
                <w:szCs w:val="20"/>
              </w:rPr>
              <w:t>визначається</w:t>
            </w:r>
            <w:r w:rsidRPr="00BE58CA">
              <w:rPr>
                <w:rFonts w:ascii="Times New Roman" w:hAnsi="Times New Roman" w:cs="Times New Roman"/>
                <w:sz w:val="20"/>
                <w:szCs w:val="20"/>
              </w:rPr>
              <w:t xml:space="preserve"> перелік ідентифікаційних даних, які з’ясовуються суб’єктами первинного фінансового моніторингу, у разі:</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     встановлення ділових відносин або проведення фінансової операції, якщо клієнтом виступає орган державної влади, підприємство, що повністю перебуває у державній власності, міжнародна установа чи організація, в яких бере участь Україна відповідно до міжнародних договорів України, згода на обов’язковість яких надана Верховною Радою України;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     проведення фінансової операції на фондовій біржі;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     проведення страхового відшкодування або страхової виплати за договором міжнародного обов’язкового страхування цивільно-правової відповідальності;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     встановлення ділових відносин або проведення фінансової операції, якщо клієнтом виступає установа, орган, офіс або агентство Європейського Союзу;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     встановлення ділових відносин або проведення фінансової операції, якщо клієнтом виступає дипломатичне представництво іноземної держави, акредитоване в Україні в установленому порядку;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     встановлення ділових відносин з клієнтом, який є емітентом, що відповідно до законодавства або умов публічного розміщення акцій на фондовій біржі зобов’язаний публічно розкривати відомості про кінцевих бенефіціарних власників (контролерів), або є дочірнім підприємством чи представництвом такого клієнта.</w:t>
            </w:r>
          </w:p>
        </w:tc>
      </w:tr>
      <w:tr w:rsidR="00B636F6" w:rsidRPr="00BE58CA" w:rsidTr="005E1E70">
        <w:tblPrEx>
          <w:tblLook w:val="04A0" w:firstRow="1" w:lastRow="0" w:firstColumn="1" w:lastColumn="0" w:noHBand="0" w:noVBand="1"/>
        </w:tblPrEx>
        <w:tc>
          <w:tcPr>
            <w:tcW w:w="4815" w:type="dxa"/>
          </w:tcPr>
          <w:p w:rsidR="00B636F6" w:rsidRPr="00BE58CA" w:rsidRDefault="00602F71"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Абзац 6</w:t>
            </w:r>
            <w:r w:rsidR="008D4A12" w:rsidRPr="00BE58CA">
              <w:rPr>
                <w:rFonts w:ascii="Times New Roman" w:hAnsi="Times New Roman" w:cs="Times New Roman"/>
                <w:b/>
                <w:sz w:val="20"/>
                <w:szCs w:val="20"/>
              </w:rPr>
              <w:t xml:space="preserve"> частини 11</w:t>
            </w:r>
            <w:r w:rsidR="00B636F6" w:rsidRPr="00BE58CA">
              <w:rPr>
                <w:rFonts w:ascii="Times New Roman" w:hAnsi="Times New Roman" w:cs="Times New Roman"/>
                <w:b/>
                <w:sz w:val="20"/>
                <w:szCs w:val="20"/>
              </w:rPr>
              <w:t xml:space="preserve"> статті 16</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Обмеження, зазначені в абзаці другому цієї частини, не перешкоджають обміну інформацією між </w:t>
            </w:r>
            <w:r w:rsidRPr="00BE58CA">
              <w:rPr>
                <w:rFonts w:ascii="Times New Roman" w:hAnsi="Times New Roman" w:cs="Times New Roman"/>
                <w:strike/>
                <w:sz w:val="20"/>
                <w:szCs w:val="20"/>
              </w:rPr>
              <w:t>банками, між іншими фінансовими установами</w:t>
            </w:r>
            <w:r w:rsidRPr="00BE58CA">
              <w:rPr>
                <w:rFonts w:ascii="Times New Roman" w:hAnsi="Times New Roman" w:cs="Times New Roman"/>
                <w:sz w:val="20"/>
                <w:szCs w:val="20"/>
              </w:rPr>
              <w:t>, а також між суб’єктами первинного фінансового моніторингу, визначеними підпунктами «а» – «д» пункту 7 частини другої статті 6 цього Закону, у випадках, пов’язаних з одним і тим же клієнтом та однією і тією ж фінансовою операцією, що передбачає участь двох або більше суб’єктів первинного фінансового моніторингу, за умови, що такі суб’єкти первинного фінансового моніторингу є суб’єктами одного виду та виконують однакові вимоги щодо захисту інформації з обмеженим доступом.</w:t>
            </w: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rPr>
              <w:t xml:space="preserve">Запропонована у Проекті закону норма не відповідає  Директиві (ЄС) 2015/849 від 20 травня 2015 року, зокрема пункту 43, в якому зазначено, що обмін інформації може здійснюватись (для встановлених цілей)  </w:t>
            </w:r>
            <w:r w:rsidRPr="00BE58CA">
              <w:rPr>
                <w:rFonts w:ascii="Verdana" w:hAnsi="Verdana"/>
                <w:color w:val="000000"/>
                <w:sz w:val="20"/>
                <w:szCs w:val="20"/>
              </w:rPr>
              <w:t xml:space="preserve"> </w:t>
            </w:r>
            <w:r w:rsidRPr="00BE58CA">
              <w:rPr>
                <w:rFonts w:ascii="Times New Roman" w:hAnsi="Times New Roman" w:cs="Times New Roman"/>
                <w:sz w:val="20"/>
                <w:szCs w:val="20"/>
                <w:u w:val="single"/>
              </w:rPr>
              <w:t>між кредитними установами та фінансовими установами й іншими зобов’язаними суб’єктами.</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u w:val="single"/>
              </w:rPr>
              <w:t>Директивою не встановлено секторального поділу при обміну інформацією в рамках Закону.</w:t>
            </w:r>
          </w:p>
        </w:tc>
        <w:tc>
          <w:tcPr>
            <w:tcW w:w="5494"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Абзац 4 частини 12 статті 16</w:t>
            </w:r>
          </w:p>
          <w:p w:rsidR="00B636F6" w:rsidRPr="00BE58CA" w:rsidRDefault="00B636F6" w:rsidP="005E1E70">
            <w:pPr>
              <w:rPr>
                <w:rFonts w:ascii="Times New Roman" w:hAnsi="Times New Roman" w:cs="Times New Roman"/>
                <w:sz w:val="20"/>
                <w:szCs w:val="20"/>
                <w:u w:val="single"/>
              </w:rPr>
            </w:pPr>
            <w:r w:rsidRPr="00BE58CA">
              <w:rPr>
                <w:rFonts w:ascii="Times New Roman" w:hAnsi="Times New Roman" w:cs="Times New Roman"/>
                <w:sz w:val="20"/>
                <w:szCs w:val="20"/>
                <w:u w:val="single"/>
              </w:rPr>
              <w:t>Викласти в наступній редакції:</w:t>
            </w:r>
          </w:p>
          <w:p w:rsidR="00B636F6" w:rsidRPr="00BE58CA" w:rsidRDefault="00B636F6" w:rsidP="005E1E70">
            <w:pPr>
              <w:jc w:val="both"/>
              <w:rPr>
                <w:sz w:val="20"/>
                <w:szCs w:val="20"/>
              </w:rPr>
            </w:pPr>
            <w:r w:rsidRPr="00BE58CA">
              <w:rPr>
                <w:rFonts w:ascii="Times New Roman" w:hAnsi="Times New Roman" w:cs="Times New Roman"/>
                <w:sz w:val="20"/>
                <w:szCs w:val="20"/>
              </w:rPr>
              <w:t xml:space="preserve">Обмеження, зазначені в абзаці другому цієї частини, не перешкоджають </w:t>
            </w:r>
            <w:r w:rsidRPr="00BE58CA">
              <w:rPr>
                <w:rFonts w:ascii="Times New Roman" w:hAnsi="Times New Roman" w:cs="Times New Roman"/>
                <w:b/>
                <w:sz w:val="20"/>
                <w:szCs w:val="20"/>
              </w:rPr>
              <w:t>обміну інформацією між суб’єктами первинного фінансового моніторингу</w:t>
            </w:r>
            <w:r w:rsidRPr="00BE58CA">
              <w:rPr>
                <w:rFonts w:ascii="Times New Roman" w:hAnsi="Times New Roman" w:cs="Times New Roman"/>
                <w:sz w:val="20"/>
                <w:szCs w:val="20"/>
              </w:rPr>
              <w:t xml:space="preserve"> та між спеціально визначеними суб’єктами первинного фінансового моніторингу, визначеними підпунктами «а» – «д» пункту 7 частини другої статті 6 цього Закону, у випадках, пов’язаних з одним і тим же клієнтом та однією і тією ж фінансовою операцією, що передбачає участь двох або більше суб’єктів первинного фінансового моніторингу, за умови, що такі суб’єкти первинного фінансового моніторингу виконують вимоги законодавства щодо захисту інформації з обмеженим доступом.</w:t>
            </w:r>
          </w:p>
        </w:tc>
      </w:tr>
      <w:tr w:rsidR="00B636F6" w:rsidRPr="00BE58CA" w:rsidTr="005E1E70">
        <w:tblPrEx>
          <w:tblLook w:val="04A0" w:firstRow="1" w:lastRow="0" w:firstColumn="1" w:lastColumn="0" w:noHBand="0" w:noVBand="1"/>
        </w:tblPrEx>
        <w:trPr>
          <w:trHeight w:val="3096"/>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Абзац 3 частини 2 статті 21</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Будь-яка особа, яка сприяє підозрілій діяльності та про яку відомо або стає відомо суб’єкту первинного фінансового моніторингу, визначається суб’єктом первинного фінансового моніторингу як учасник підозрілої діяльності, включаючи осіб, що є працівниками суб’єкта первинного фінансового моніторингу.</w:t>
            </w: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Уточнення норми пов’язане з визначенням того,  працівника СПФМ, який буде вважатися таким, що сприяє підозрілій відповідальності.</w:t>
            </w:r>
          </w:p>
          <w:p w:rsidR="00B636F6" w:rsidRPr="00BE58CA" w:rsidRDefault="00B636F6" w:rsidP="005E1E70">
            <w:pPr>
              <w:jc w:val="both"/>
              <w:rPr>
                <w:rFonts w:ascii="Times New Roman" w:hAnsi="Times New Roman" w:cs="Times New Roman"/>
                <w:sz w:val="20"/>
                <w:szCs w:val="20"/>
              </w:rPr>
            </w:pP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Доповнити словами: «за умови усвідомлення того, що вона сприяє підозрілій діяльності» та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Будь-яка особа, яка сприяє підозрілій діяльності та про яку відомо або стає відомо суб’єкту первинного фінансового моніторингу, визначається суб’єктом первинного фінансового моніторингу як учасник підозрілої діяльності, включаючи осіб, що є працівниками суб’єкта первинного фінансового моніторингу, </w:t>
            </w:r>
            <w:r w:rsidRPr="00BE58CA">
              <w:rPr>
                <w:rFonts w:ascii="Times New Roman" w:hAnsi="Times New Roman" w:cs="Times New Roman"/>
                <w:b/>
                <w:sz w:val="20"/>
                <w:szCs w:val="20"/>
              </w:rPr>
              <w:t>за умови усвідомлення того, що вона сприяє підозрілій діяльності.</w:t>
            </w:r>
          </w:p>
        </w:tc>
      </w:tr>
      <w:tr w:rsidR="00B636F6" w:rsidRPr="00BE58CA" w:rsidTr="005E1E70">
        <w:tblPrEx>
          <w:tblLook w:val="04A0" w:firstRow="1" w:lastRow="0" w:firstColumn="1" w:lastColumn="0" w:noHBand="0" w:noVBand="1"/>
        </w:tblPrEx>
        <w:trPr>
          <w:trHeight w:val="10337"/>
        </w:trPr>
        <w:tc>
          <w:tcPr>
            <w:tcW w:w="4815" w:type="dxa"/>
          </w:tcPr>
          <w:p w:rsidR="00B636F6" w:rsidRPr="00BE58CA" w:rsidRDefault="00602F71"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Частина 5</w:t>
            </w:r>
            <w:r w:rsidR="00B636F6" w:rsidRPr="00BE58CA">
              <w:rPr>
                <w:rFonts w:ascii="Times New Roman" w:hAnsi="Times New Roman" w:cs="Times New Roman"/>
                <w:b/>
                <w:sz w:val="20"/>
                <w:szCs w:val="20"/>
              </w:rPr>
              <w:t xml:space="preserve"> статті 32</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w:t>
            </w:r>
          </w:p>
          <w:p w:rsidR="00B636F6" w:rsidRPr="00BE58CA" w:rsidRDefault="00602F71" w:rsidP="005E1E70">
            <w:pPr>
              <w:jc w:val="both"/>
              <w:rPr>
                <w:rFonts w:ascii="Times New Roman" w:hAnsi="Times New Roman" w:cs="Times New Roman"/>
                <w:sz w:val="20"/>
                <w:szCs w:val="20"/>
              </w:rPr>
            </w:pPr>
            <w:r w:rsidRPr="00BE58CA">
              <w:rPr>
                <w:rFonts w:ascii="Times New Roman" w:hAnsi="Times New Roman" w:cs="Times New Roman"/>
                <w:sz w:val="20"/>
                <w:szCs w:val="20"/>
              </w:rPr>
              <w:t>5</w:t>
            </w:r>
            <w:r w:rsidR="00B636F6" w:rsidRPr="00BE58CA">
              <w:rPr>
                <w:rFonts w:ascii="Times New Roman" w:hAnsi="Times New Roman" w:cs="Times New Roman"/>
                <w:sz w:val="20"/>
                <w:szCs w:val="20"/>
              </w:rPr>
              <w:t>. До суб’єкта первинного фінансового моніторингу можуть бути застосовані такі штрафи:</w:t>
            </w:r>
          </w:p>
          <w:p w:rsidR="00B636F6" w:rsidRPr="00BE58CA" w:rsidRDefault="00B636F6" w:rsidP="005E1E70">
            <w:pPr>
              <w:jc w:val="both"/>
              <w:rPr>
                <w:sz w:val="20"/>
                <w:szCs w:val="20"/>
              </w:rPr>
            </w:pPr>
            <w:r w:rsidRPr="00BE58CA">
              <w:rPr>
                <w:rFonts w:ascii="Times New Roman" w:hAnsi="Times New Roman" w:cs="Times New Roman"/>
                <w:sz w:val="20"/>
                <w:szCs w:val="20"/>
              </w:rPr>
              <w:t>…</w:t>
            </w: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59 пункт  Директиви (ЄС) 2015/849 від 20 травня 2015 року встановлює, що діапазон санкцій і заходів повинен бути досить широким, щоб дозволити державам-членам і компетентним органам приймати до уваги відмінності між зобов'язаними особами, зокрема, між кредитними організаціями і фінансовими установами та іншими зобов'язаними особами стосовно їх розміру, характеристик і характеру бізнесу.</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Виходячи з цієї норми є можливим встановлення нижчих сум штрафів на рівні небанківських фінансових установ.</w:t>
            </w:r>
          </w:p>
          <w:p w:rsidR="00C75B3B" w:rsidRPr="00BE58CA" w:rsidRDefault="00C75B3B" w:rsidP="005E1E70">
            <w:pPr>
              <w:jc w:val="both"/>
              <w:rPr>
                <w:rFonts w:ascii="Times New Roman" w:hAnsi="Times New Roman" w:cs="Times New Roman"/>
                <w:sz w:val="20"/>
                <w:szCs w:val="20"/>
              </w:rPr>
            </w:pPr>
          </w:p>
          <w:p w:rsidR="00C75B3B" w:rsidRPr="00BE58CA" w:rsidRDefault="00C75B3B" w:rsidP="00C75B3B">
            <w:pPr>
              <w:jc w:val="both"/>
              <w:rPr>
                <w:rFonts w:ascii="Times New Roman" w:hAnsi="Times New Roman" w:cs="Times New Roman"/>
                <w:sz w:val="20"/>
                <w:szCs w:val="20"/>
              </w:rPr>
            </w:pPr>
          </w:p>
          <w:p w:rsidR="00C75B3B" w:rsidRPr="00BE58CA" w:rsidRDefault="00F522A6" w:rsidP="00F522A6">
            <w:pPr>
              <w:jc w:val="both"/>
              <w:rPr>
                <w:rFonts w:ascii="Times New Roman" w:hAnsi="Times New Roman" w:cs="Times New Roman"/>
                <w:sz w:val="20"/>
                <w:szCs w:val="20"/>
              </w:rPr>
            </w:pPr>
            <w:r w:rsidRPr="00BE58CA">
              <w:rPr>
                <w:rFonts w:ascii="Times New Roman" w:hAnsi="Times New Roman" w:cs="Times New Roman"/>
                <w:sz w:val="20"/>
                <w:szCs w:val="20"/>
              </w:rPr>
              <w:t>По кожному штрафу вираховувалося відсоткове відношення статутного капіталу банку до розміру штрафу і дане відсоткове відношення застосовувалось до небанківських фінансових установ, які мають менший статуний капітал - – на прикладі професійних учасників фондового ринку.</w:t>
            </w:r>
          </w:p>
          <w:p w:rsidR="00F522A6" w:rsidRPr="00BE58CA" w:rsidRDefault="00EC361E" w:rsidP="00F522A6">
            <w:pPr>
              <w:jc w:val="both"/>
              <w:rPr>
                <w:rFonts w:ascii="Times New Roman" w:hAnsi="Times New Roman" w:cs="Times New Roman"/>
                <w:sz w:val="20"/>
                <w:szCs w:val="20"/>
              </w:rPr>
            </w:pPr>
            <w:r w:rsidRPr="00BE58CA">
              <w:rPr>
                <w:rFonts w:ascii="Times New Roman" w:hAnsi="Times New Roman" w:cs="Times New Roman"/>
                <w:sz w:val="20"/>
                <w:szCs w:val="20"/>
              </w:rPr>
              <w:t>Н</w:t>
            </w:r>
            <w:r w:rsidR="00F522A6" w:rsidRPr="00BE58CA">
              <w:rPr>
                <w:rFonts w:ascii="Times New Roman" w:hAnsi="Times New Roman" w:cs="Times New Roman"/>
                <w:sz w:val="20"/>
                <w:szCs w:val="20"/>
              </w:rPr>
              <w:t xml:space="preserve">априклад – штраф </w:t>
            </w:r>
            <w:r w:rsidRPr="00BE58CA">
              <w:rPr>
                <w:rFonts w:ascii="Times New Roman" w:hAnsi="Times New Roman" w:cs="Times New Roman"/>
                <w:sz w:val="20"/>
                <w:szCs w:val="20"/>
              </w:rPr>
              <w:t>20</w:t>
            </w:r>
            <w:r w:rsidR="00F522A6" w:rsidRPr="00BE58CA">
              <w:rPr>
                <w:rFonts w:ascii="Times New Roman" w:hAnsi="Times New Roman" w:cs="Times New Roman"/>
                <w:sz w:val="20"/>
                <w:szCs w:val="20"/>
              </w:rPr>
              <w:t> 000 НМДГ</w:t>
            </w:r>
            <w:r w:rsidRPr="00BE58CA">
              <w:rPr>
                <w:rFonts w:ascii="Times New Roman" w:hAnsi="Times New Roman" w:cs="Times New Roman"/>
                <w:sz w:val="20"/>
                <w:szCs w:val="20"/>
              </w:rPr>
              <w:t xml:space="preserve"> (абзац 1)</w:t>
            </w:r>
          </w:p>
          <w:p w:rsidR="00F522A6" w:rsidRPr="00BE58CA" w:rsidRDefault="00EC361E" w:rsidP="00F522A6">
            <w:pPr>
              <w:pStyle w:val="a4"/>
              <w:numPr>
                <w:ilvl w:val="0"/>
                <w:numId w:val="2"/>
              </w:numPr>
              <w:jc w:val="both"/>
              <w:rPr>
                <w:rFonts w:ascii="Times New Roman" w:hAnsi="Times New Roman" w:cs="Times New Roman"/>
                <w:sz w:val="20"/>
                <w:szCs w:val="20"/>
              </w:rPr>
            </w:pPr>
            <w:r w:rsidRPr="00BE58CA">
              <w:rPr>
                <w:rFonts w:ascii="Times New Roman" w:hAnsi="Times New Roman" w:cs="Times New Roman"/>
                <w:sz w:val="20"/>
                <w:szCs w:val="20"/>
              </w:rPr>
              <w:t xml:space="preserve">340 000 </w:t>
            </w:r>
            <w:r w:rsidRPr="00BE58CA">
              <w:rPr>
                <w:rFonts w:ascii="Times New Roman" w:hAnsi="Times New Roman" w:cs="Times New Roman"/>
                <w:sz w:val="20"/>
                <w:szCs w:val="20"/>
                <w:lang w:val="en-US"/>
              </w:rPr>
              <w:t>/ 200 000 000 x</w:t>
            </w:r>
            <w:r w:rsidRPr="00BE58CA">
              <w:rPr>
                <w:rFonts w:ascii="Times New Roman" w:hAnsi="Times New Roman" w:cs="Times New Roman"/>
                <w:sz w:val="20"/>
                <w:szCs w:val="20"/>
                <w:lang w:val="ru-RU"/>
              </w:rPr>
              <w:t xml:space="preserve"> 100% = 0.2%;</w:t>
            </w:r>
          </w:p>
          <w:p w:rsidR="00EC361E" w:rsidRPr="00BE58CA" w:rsidRDefault="00EC361E" w:rsidP="00EC361E">
            <w:pPr>
              <w:pStyle w:val="a4"/>
              <w:numPr>
                <w:ilvl w:val="0"/>
                <w:numId w:val="2"/>
              </w:numPr>
              <w:jc w:val="both"/>
              <w:rPr>
                <w:rFonts w:ascii="Times New Roman" w:hAnsi="Times New Roman" w:cs="Times New Roman"/>
                <w:sz w:val="20"/>
                <w:szCs w:val="20"/>
              </w:rPr>
            </w:pPr>
            <w:r w:rsidRPr="00BE58CA">
              <w:rPr>
                <w:rFonts w:ascii="Times New Roman" w:hAnsi="Times New Roman" w:cs="Times New Roman"/>
                <w:sz w:val="20"/>
                <w:szCs w:val="20"/>
                <w:lang w:val="ru-RU"/>
              </w:rPr>
              <w:t>340 000 / 3</w:t>
            </w:r>
            <w:r w:rsidRPr="00BE58CA">
              <w:rPr>
                <w:rFonts w:ascii="Times New Roman" w:hAnsi="Times New Roman" w:cs="Times New Roman"/>
                <w:sz w:val="20"/>
                <w:szCs w:val="20"/>
                <w:lang w:val="en-US"/>
              </w:rPr>
              <w:t> </w:t>
            </w:r>
            <w:r w:rsidRPr="00BE58CA">
              <w:rPr>
                <w:rFonts w:ascii="Times New Roman" w:hAnsi="Times New Roman" w:cs="Times New Roman"/>
                <w:sz w:val="20"/>
                <w:szCs w:val="20"/>
                <w:lang w:val="ru-RU"/>
              </w:rPr>
              <w:t>400 000 (середній встановлений встановлений ліцензійними умовами розмір статутного капіталу для торговців та депозитарних установ) х 100% = 10%.</w:t>
            </w:r>
          </w:p>
          <w:p w:rsidR="00EC361E" w:rsidRPr="00BE58CA" w:rsidRDefault="00EC361E" w:rsidP="00EC361E">
            <w:pPr>
              <w:pStyle w:val="a4"/>
              <w:numPr>
                <w:ilvl w:val="0"/>
                <w:numId w:val="2"/>
              </w:numPr>
              <w:jc w:val="both"/>
              <w:rPr>
                <w:rFonts w:ascii="Times New Roman" w:hAnsi="Times New Roman" w:cs="Times New Roman"/>
                <w:sz w:val="20"/>
                <w:szCs w:val="20"/>
              </w:rPr>
            </w:pPr>
            <w:r w:rsidRPr="00BE58CA">
              <w:rPr>
                <w:rFonts w:ascii="Times New Roman" w:hAnsi="Times New Roman" w:cs="Times New Roman"/>
                <w:sz w:val="20"/>
                <w:szCs w:val="20"/>
              </w:rPr>
              <w:t>Тому справедливим є встановлення штрафу в розмірі 400 НМДГ, що становить 0.2% СК.</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перший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порушення вимог щодо здійснення належної перевірки, вимог щодо виявлення належності клієнтів та інших осіб до політично значущих осіб, членів їх сімей, осіб, пов’язаних з ними, у випадках, передбачених законодавством, – </w:t>
            </w:r>
            <w:r w:rsidR="001F01D7" w:rsidRPr="00BE58CA">
              <w:rPr>
                <w:rFonts w:ascii="Times New Roman" w:hAnsi="Times New Roman" w:cs="Times New Roman"/>
                <w:b/>
                <w:sz w:val="20"/>
                <w:szCs w:val="20"/>
                <w:u w:val="single"/>
              </w:rPr>
              <w:t>до 400</w:t>
            </w:r>
            <w:r w:rsidRPr="00BE58CA">
              <w:rPr>
                <w:rFonts w:ascii="Times New Roman" w:hAnsi="Times New Roman" w:cs="Times New Roman"/>
                <w:sz w:val="20"/>
                <w:szCs w:val="20"/>
              </w:rPr>
              <w:t xml:space="preserve"> 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другий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порушення вимог щодо відмови від встановлення (підтримання) ділових відносин, проведення фінансової операції – у розмірі </w:t>
            </w:r>
            <w:r w:rsidRPr="00BE58CA">
              <w:rPr>
                <w:rFonts w:ascii="Times New Roman" w:hAnsi="Times New Roman" w:cs="Times New Roman"/>
                <w:b/>
                <w:sz w:val="20"/>
                <w:szCs w:val="20"/>
                <w:u w:val="single"/>
              </w:rPr>
              <w:t xml:space="preserve">до </w:t>
            </w:r>
            <w:r w:rsidR="001F01D7" w:rsidRPr="00BE58CA">
              <w:rPr>
                <w:rFonts w:ascii="Times New Roman" w:hAnsi="Times New Roman" w:cs="Times New Roman"/>
                <w:b/>
                <w:sz w:val="20"/>
                <w:szCs w:val="20"/>
                <w:u w:val="single"/>
              </w:rPr>
              <w:t>800</w:t>
            </w:r>
            <w:r w:rsidRPr="00BE58CA">
              <w:rPr>
                <w:rFonts w:ascii="Times New Roman" w:hAnsi="Times New Roman" w:cs="Times New Roman"/>
                <w:sz w:val="20"/>
                <w:szCs w:val="20"/>
              </w:rPr>
              <w:t xml:space="preserve"> 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четвертий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порушення порядку замороження / розмороження активів, що пов’язані з тероризмом та його фінансуванням, розповсюдженням зброї масового знищення та його фінансуванням, та зупинення фінансових операцій – у розмірі </w:t>
            </w:r>
            <w:r w:rsidR="00C95D25" w:rsidRPr="00BE58CA">
              <w:rPr>
                <w:rFonts w:ascii="Times New Roman" w:hAnsi="Times New Roman" w:cs="Times New Roman"/>
                <w:b/>
                <w:sz w:val="20"/>
                <w:szCs w:val="20"/>
                <w:u w:val="single"/>
              </w:rPr>
              <w:t>до 9</w:t>
            </w:r>
            <w:r w:rsidRPr="00BE58CA">
              <w:rPr>
                <w:rFonts w:ascii="Times New Roman" w:hAnsi="Times New Roman" w:cs="Times New Roman"/>
                <w:b/>
                <w:sz w:val="20"/>
                <w:szCs w:val="20"/>
                <w:u w:val="single"/>
              </w:rPr>
              <w:t>00</w:t>
            </w:r>
            <w:r w:rsidRPr="00BE58CA">
              <w:rPr>
                <w:rFonts w:ascii="Times New Roman" w:hAnsi="Times New Roman" w:cs="Times New Roman"/>
                <w:sz w:val="20"/>
                <w:szCs w:val="20"/>
              </w:rPr>
              <w:t xml:space="preserve"> 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п’ятий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порушення порядку створення (ведення) та зберігання документів (у тому числі електронних), записів, даних, інформації, у випадках, передбачених цим Законом, в тому числі, у разі їх втрати, або знищення – у розмірі </w:t>
            </w:r>
            <w:r w:rsidR="00C95D25" w:rsidRPr="00BE58CA">
              <w:rPr>
                <w:rFonts w:ascii="Times New Roman" w:hAnsi="Times New Roman" w:cs="Times New Roman"/>
                <w:b/>
                <w:sz w:val="20"/>
                <w:szCs w:val="20"/>
                <w:u w:val="single"/>
              </w:rPr>
              <w:t xml:space="preserve"> до 400</w:t>
            </w:r>
            <w:r w:rsidR="00C95D25"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шостий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неподання, несвоєчасне подання, порушення порядку подання або подання спеціально уповноваженому органу недостовірної інформації у випадках, передбачених законодавством, – у розмірі </w:t>
            </w:r>
            <w:r w:rsidR="00C95D25" w:rsidRPr="00BE58CA">
              <w:rPr>
                <w:rFonts w:ascii="Times New Roman" w:hAnsi="Times New Roman" w:cs="Times New Roman"/>
                <w:b/>
                <w:sz w:val="20"/>
                <w:szCs w:val="20"/>
                <w:u w:val="single"/>
              </w:rPr>
              <w:t xml:space="preserve"> до 800</w:t>
            </w:r>
            <w:r w:rsidR="00C95D25"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сьомий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перешкоджання суб’єкту державного фінансового моніторингу у здійсненні ним нагляду у сфері запобігання та протидії, в тому числі недопуск до проведення перевірки з питань дотримання вимог законодавства у сфері запобігання та протидії, створення перешкод у її проведенні та/або неподання, подання не в повному обсязі, подання недостовірної інформації/документів, подання копій документів, у яких неможливо прочитати всі написані в них відомості, на запит суб’єкта державного фінансового моніторингу, необхідних для здійснення ним нагляду у сфері запобігання та протидії відповідно до цього Закону, – у </w:t>
            </w:r>
            <w:r w:rsidRPr="00BE58CA">
              <w:rPr>
                <w:rFonts w:ascii="Times New Roman" w:hAnsi="Times New Roman" w:cs="Times New Roman"/>
                <w:sz w:val="20"/>
                <w:szCs w:val="20"/>
              </w:rPr>
              <w:lastRenderedPageBreak/>
              <w:t xml:space="preserve">розмірі </w:t>
            </w:r>
            <w:r w:rsidR="00C95D25" w:rsidRPr="00BE58CA">
              <w:rPr>
                <w:rFonts w:ascii="Times New Roman" w:hAnsi="Times New Roman" w:cs="Times New Roman"/>
                <w:b/>
                <w:sz w:val="20"/>
                <w:szCs w:val="20"/>
                <w:u w:val="single"/>
              </w:rPr>
              <w:t xml:space="preserve"> до 800</w:t>
            </w:r>
            <w:r w:rsidR="00C95D25"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восьмий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невиконання вимог про усунення виявлених порушень та/або вжиття заходів для усунення причин, що сприяли їх вчиненню, а також невжиття, за результатами перевірки, заходів з усунення виявлених недоліків щодо організації та проведення первинного фінансового моніторингу – у розмірі </w:t>
            </w:r>
            <w:r w:rsidR="00C95D25" w:rsidRPr="00BE58CA">
              <w:rPr>
                <w:rFonts w:ascii="Times New Roman" w:hAnsi="Times New Roman" w:cs="Times New Roman"/>
                <w:b/>
                <w:sz w:val="20"/>
                <w:szCs w:val="20"/>
                <w:u w:val="single"/>
              </w:rPr>
              <w:t xml:space="preserve"> до 900</w:t>
            </w:r>
            <w:r w:rsidR="00C95D25"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дев’ятий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невиявлення, несвоєчасне виявлення та порушення порядку реєстрації фінансових операцій, що підлягають фінансовому моніторингу, – у розмірі </w:t>
            </w:r>
            <w:r w:rsidR="00C95D25" w:rsidRPr="00BE58CA">
              <w:rPr>
                <w:rFonts w:ascii="Times New Roman" w:hAnsi="Times New Roman" w:cs="Times New Roman"/>
                <w:b/>
                <w:sz w:val="20"/>
                <w:szCs w:val="20"/>
                <w:u w:val="single"/>
              </w:rPr>
              <w:t xml:space="preserve"> до 800</w:t>
            </w:r>
            <w:r w:rsidR="00C95D25"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десятий викласти в такій редакції:</w:t>
            </w:r>
          </w:p>
          <w:p w:rsidR="00F522A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за порушення обмежень щодо обміну інформацією, визначених законодавством у сфері запобігання та протидії, – у розмірі </w:t>
            </w:r>
            <w:r w:rsidR="00F522A6" w:rsidRPr="00BE58CA">
              <w:rPr>
                <w:rFonts w:ascii="Times New Roman" w:hAnsi="Times New Roman" w:cs="Times New Roman"/>
                <w:b/>
                <w:sz w:val="20"/>
                <w:szCs w:val="20"/>
                <w:u w:val="single"/>
              </w:rPr>
              <w:t xml:space="preserve"> до 400</w:t>
            </w:r>
            <w:r w:rsidR="00F522A6"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 xml:space="preserve"> неоподатковуваних мінімумів доходів громадян.</w:t>
            </w:r>
          </w:p>
          <w:p w:rsidR="00F522A6" w:rsidRPr="00BE58CA" w:rsidRDefault="00F522A6" w:rsidP="00F522A6">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одинадцятий викласти в такій редакції:</w:t>
            </w:r>
          </w:p>
          <w:p w:rsidR="00F522A6" w:rsidRPr="00BE58CA" w:rsidRDefault="00F522A6" w:rsidP="00F522A6">
            <w:pPr>
              <w:jc w:val="both"/>
              <w:rPr>
                <w:rFonts w:ascii="Times New Roman" w:hAnsi="Times New Roman" w:cs="Times New Roman"/>
                <w:sz w:val="20"/>
                <w:szCs w:val="20"/>
              </w:rPr>
            </w:pPr>
            <w:r w:rsidRPr="00BE58CA">
              <w:rPr>
                <w:rFonts w:ascii="Times New Roman" w:hAnsi="Times New Roman" w:cs="Times New Roman"/>
                <w:sz w:val="20"/>
                <w:szCs w:val="20"/>
              </w:rPr>
              <w:t xml:space="preserve">за незабезпечення захисту працівників, які повідомили керівника та/або відповідального працівника суб’єкта первинного фінансового моніторингу чи суб’єкта державного фінансового моніторингу про порушення вимог законодавства у сфері запобігання та протидії, – у розмірі </w:t>
            </w:r>
            <w:r w:rsidRPr="00BE58CA">
              <w:rPr>
                <w:rFonts w:ascii="Times New Roman" w:hAnsi="Times New Roman" w:cs="Times New Roman"/>
                <w:b/>
                <w:sz w:val="20"/>
                <w:szCs w:val="20"/>
                <w:u w:val="single"/>
              </w:rPr>
              <w:t>до 400</w:t>
            </w:r>
            <w:r w:rsidRPr="00BE58CA">
              <w:rPr>
                <w:rFonts w:ascii="Times New Roman" w:hAnsi="Times New Roman" w:cs="Times New Roman"/>
                <w:sz w:val="20"/>
                <w:szCs w:val="20"/>
                <w:u w:val="single"/>
              </w:rPr>
              <w:t xml:space="preserve"> </w:t>
            </w:r>
            <w:r w:rsidRPr="00BE58CA">
              <w:rPr>
                <w:rFonts w:ascii="Times New Roman" w:hAnsi="Times New Roman" w:cs="Times New Roman"/>
                <w:sz w:val="20"/>
                <w:szCs w:val="20"/>
              </w:rPr>
              <w:t xml:space="preserve">  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Абзац дванадцятий викласти в такій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sz w:val="20"/>
                <w:szCs w:val="20"/>
              </w:rPr>
              <w:t>за відсутність належної організації та проведення первинного фінансового моніторингу, відсутність системи управління ризиками</w:t>
            </w:r>
            <w:r w:rsidRPr="00BE58CA">
              <w:rPr>
                <w:rFonts w:ascii="Times New Roman" w:hAnsi="Times New Roman" w:cs="Times New Roman"/>
                <w:sz w:val="20"/>
                <w:szCs w:val="20"/>
              </w:rPr>
              <w:t xml:space="preserve">, повторне невиконання вимог суб’єктів державного фінансового моніторингу про усунення виявлених порушень та/або вжиття заходів для усунення причин, що сприяли їх вчиненню, а також невжиття за результатами перевірок заходів з усунення виявлених недоліків у організації та проведенні первинного фінансового моніторингу – у розмірі </w:t>
            </w:r>
            <w:r w:rsidRPr="00BE58CA">
              <w:rPr>
                <w:rFonts w:ascii="Times New Roman" w:hAnsi="Times New Roman" w:cs="Times New Roman"/>
                <w:b/>
                <w:sz w:val="20"/>
                <w:szCs w:val="20"/>
                <w:u w:val="single"/>
              </w:rPr>
              <w:t>до 200 000</w:t>
            </w:r>
            <w:r w:rsidRPr="00BE58CA">
              <w:rPr>
                <w:rFonts w:ascii="Times New Roman" w:hAnsi="Times New Roman" w:cs="Times New Roman"/>
                <w:sz w:val="20"/>
                <w:szCs w:val="20"/>
              </w:rPr>
              <w:t xml:space="preserve"> неоподатковуваних мінімумів доходів громадян.</w:t>
            </w:r>
          </w:p>
        </w:tc>
      </w:tr>
      <w:tr w:rsidR="00B636F6" w:rsidRPr="00BE58CA" w:rsidTr="005E1E70">
        <w:tblPrEx>
          <w:tblLook w:val="04A0" w:firstRow="1" w:lastRow="0" w:firstColumn="1" w:lastColumn="0" w:noHBand="0" w:noVBand="1"/>
        </w:tblPrEx>
        <w:tc>
          <w:tcPr>
            <w:tcW w:w="4815" w:type="dxa"/>
          </w:tcPr>
          <w:p w:rsidR="00B636F6" w:rsidRPr="00BE58CA" w:rsidRDefault="00602F71"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Абзац 3 частини 6</w:t>
            </w:r>
            <w:r w:rsidR="00B636F6" w:rsidRPr="00BE58CA">
              <w:rPr>
                <w:rFonts w:ascii="Times New Roman" w:hAnsi="Times New Roman" w:cs="Times New Roman"/>
                <w:b/>
                <w:sz w:val="20"/>
                <w:szCs w:val="20"/>
              </w:rPr>
              <w:t xml:space="preserve"> статті 32</w:t>
            </w:r>
          </w:p>
          <w:p w:rsidR="00B636F6" w:rsidRPr="00BE58CA" w:rsidRDefault="00B636F6" w:rsidP="005E1E70">
            <w:pPr>
              <w:jc w:val="center"/>
              <w:rPr>
                <w:rFonts w:ascii="Times New Roman" w:hAnsi="Times New Roman" w:cs="Times New Roman"/>
                <w:sz w:val="20"/>
                <w:szCs w:val="20"/>
              </w:rPr>
            </w:pPr>
            <w:r w:rsidRPr="00BE58CA">
              <w:rPr>
                <w:rFonts w:ascii="Times New Roman" w:hAnsi="Times New Roman" w:cs="Times New Roman"/>
                <w:sz w:val="20"/>
                <w:szCs w:val="20"/>
              </w:rPr>
              <w:t>…</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5. Розрахунок суми штрафу у разі вчинення двох і більше видів порушень здійснюється шляхом додавання розмірів штрафів за кожний вид порушення.</w:t>
            </w:r>
          </w:p>
          <w:p w:rsidR="00B636F6" w:rsidRPr="00BE58CA" w:rsidRDefault="00B636F6" w:rsidP="005E1E70">
            <w:pPr>
              <w:jc w:val="both"/>
              <w:rPr>
                <w:rFonts w:ascii="Times New Roman" w:hAnsi="Times New Roman" w:cs="Times New Roman"/>
                <w:sz w:val="20"/>
                <w:szCs w:val="20"/>
                <w:lang w:val="ru-RU"/>
              </w:rPr>
            </w:pPr>
            <w:r w:rsidRPr="00BE58CA">
              <w:rPr>
                <w:rFonts w:ascii="Times New Roman" w:hAnsi="Times New Roman" w:cs="Times New Roman"/>
                <w:sz w:val="20"/>
                <w:szCs w:val="20"/>
              </w:rPr>
              <w:t>для суб’єктів первинного фінансового моніторингу, які є небанківськими фінансовими установами, – 10 000 000 неоподатковуваних мінімумів доходів громадян</w:t>
            </w:r>
            <w:r w:rsidRPr="00BE58CA">
              <w:rPr>
                <w:rFonts w:ascii="Times New Roman" w:hAnsi="Times New Roman" w:cs="Times New Roman"/>
                <w:sz w:val="20"/>
                <w:szCs w:val="20"/>
                <w:lang w:val="ru-RU"/>
              </w:rPr>
              <w:t>.</w:t>
            </w: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59 пункт  Директиви (ЄС) 2015/849 від 20 травня 2015 року встановлює, що діапазон санкцій і заходів повинен бути досить широким, щоб дозволити державам-членам і компетентним органам приймати до уваги відмінності між зобов'язаними особами, зокрема, між кредитними організаціями і фінансовими установами та іншими зобов'язаними особами стосовно їх розміру, характеристик і характеру бізнесу.</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Виходячи з цієї норми є можливим встановлення нижчих сум штрафів на рівні небанківських фінансових установ.</w:t>
            </w:r>
          </w:p>
          <w:p w:rsidR="00F522A6" w:rsidRPr="00BE58CA" w:rsidRDefault="00F522A6" w:rsidP="00F522A6">
            <w:pPr>
              <w:jc w:val="both"/>
              <w:rPr>
                <w:rFonts w:ascii="Times New Roman" w:hAnsi="Times New Roman" w:cs="Times New Roman"/>
                <w:sz w:val="20"/>
                <w:szCs w:val="20"/>
              </w:rPr>
            </w:pPr>
            <w:r w:rsidRPr="00BE58CA">
              <w:rPr>
                <w:rFonts w:ascii="Times New Roman" w:hAnsi="Times New Roman" w:cs="Times New Roman"/>
                <w:sz w:val="20"/>
                <w:szCs w:val="20"/>
              </w:rPr>
              <w:t>По доволі простій схемі можна вирахувати справедливий рівень розміру штрафів для небанківських фінансових установ (на прикладі максимальної суми штрафів) – на прикладі професійних учасників фондового ринку.</w:t>
            </w:r>
          </w:p>
          <w:p w:rsidR="00F522A6" w:rsidRPr="00BE58CA" w:rsidRDefault="00F522A6" w:rsidP="00F522A6">
            <w:pPr>
              <w:jc w:val="both"/>
              <w:rPr>
                <w:rFonts w:ascii="Times New Roman" w:hAnsi="Times New Roman" w:cs="Times New Roman"/>
                <w:sz w:val="20"/>
                <w:szCs w:val="20"/>
              </w:rPr>
            </w:pPr>
          </w:p>
          <w:p w:rsidR="00F522A6" w:rsidRPr="00BE58CA" w:rsidRDefault="00F522A6" w:rsidP="00F522A6">
            <w:pPr>
              <w:jc w:val="both"/>
              <w:rPr>
                <w:rFonts w:ascii="Times New Roman" w:hAnsi="Times New Roman" w:cs="Times New Roman"/>
                <w:sz w:val="20"/>
                <w:szCs w:val="20"/>
              </w:rPr>
            </w:pPr>
            <w:r w:rsidRPr="00BE58CA">
              <w:rPr>
                <w:rFonts w:ascii="Times New Roman" w:hAnsi="Times New Roman" w:cs="Times New Roman"/>
                <w:sz w:val="20"/>
                <w:szCs w:val="20"/>
              </w:rPr>
              <w:t>Мінімальний розмір статутного капіталу банку – 200 млн грн, максимальний штраф становить 170 млн грн, що становить 85% статутного капіталу.</w:t>
            </w:r>
          </w:p>
          <w:p w:rsidR="00F522A6" w:rsidRPr="00BE58CA" w:rsidRDefault="00F522A6" w:rsidP="00F522A6">
            <w:pPr>
              <w:jc w:val="both"/>
              <w:rPr>
                <w:rFonts w:ascii="Times New Roman" w:hAnsi="Times New Roman" w:cs="Times New Roman"/>
                <w:sz w:val="20"/>
                <w:szCs w:val="20"/>
              </w:rPr>
            </w:pPr>
            <w:r w:rsidRPr="00BE58CA">
              <w:rPr>
                <w:rFonts w:ascii="Times New Roman" w:hAnsi="Times New Roman" w:cs="Times New Roman"/>
                <w:sz w:val="20"/>
                <w:szCs w:val="20"/>
              </w:rPr>
              <w:t>Мінімальний ромір статутного капіталу для торговця</w:t>
            </w:r>
            <w:r w:rsidRPr="00BE58CA">
              <w:rPr>
                <w:rFonts w:ascii="Times New Roman" w:hAnsi="Times New Roman" w:cs="Times New Roman"/>
                <w:sz w:val="20"/>
                <w:szCs w:val="20"/>
                <w:lang w:val="ru-RU"/>
              </w:rPr>
              <w:t>/депозитарної установи</w:t>
            </w:r>
            <w:r w:rsidRPr="00BE58CA">
              <w:rPr>
                <w:rFonts w:ascii="Times New Roman" w:hAnsi="Times New Roman" w:cs="Times New Roman"/>
                <w:sz w:val="20"/>
                <w:szCs w:val="20"/>
              </w:rPr>
              <w:t xml:space="preserve"> – 4 млн грн (взято середній розмір з огляду на показники 0.5 млн для дилера, 1 млн для брокера та андерайтера та 7 млн для управління цінними паперами та здійснення депозитарної діяльності), а максимальний штраф становить 425% статутного капіталу.</w:t>
            </w:r>
          </w:p>
          <w:p w:rsidR="00F522A6" w:rsidRPr="00BE58CA" w:rsidRDefault="00F522A6" w:rsidP="00F522A6">
            <w:pPr>
              <w:jc w:val="both"/>
              <w:rPr>
                <w:rFonts w:ascii="Times New Roman" w:hAnsi="Times New Roman" w:cs="Times New Roman"/>
                <w:sz w:val="20"/>
                <w:szCs w:val="20"/>
              </w:rPr>
            </w:pPr>
            <w:r w:rsidRPr="00BE58CA">
              <w:rPr>
                <w:rFonts w:ascii="Times New Roman" w:hAnsi="Times New Roman" w:cs="Times New Roman"/>
                <w:sz w:val="20"/>
                <w:szCs w:val="20"/>
              </w:rPr>
              <w:t>Для справедливого розміру штрафу варто застосовувати відсоткове відношення суми штрафу до статутного капіталу у розмірі 85%, таким чином для торговця</w:t>
            </w:r>
            <w:r w:rsidRPr="00BE58CA">
              <w:rPr>
                <w:rFonts w:ascii="Times New Roman" w:hAnsi="Times New Roman" w:cs="Times New Roman"/>
                <w:sz w:val="20"/>
                <w:szCs w:val="20"/>
                <w:lang w:val="ru-RU"/>
              </w:rPr>
              <w:t>/</w:t>
            </w:r>
            <w:r w:rsidRPr="00BE58CA">
              <w:rPr>
                <w:rFonts w:ascii="Times New Roman" w:hAnsi="Times New Roman" w:cs="Times New Roman"/>
                <w:sz w:val="20"/>
                <w:szCs w:val="20"/>
              </w:rPr>
              <w:t>депозитарної установи максимальна сума штрафу має бути встановлена на рівні 200 000 НМДГ (3 400 000 грн).</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Викласти в наступній редакції:</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для суб’єктів первинного фінансового моніторингу, які є небанківськими фінансовими установами, – </w:t>
            </w:r>
            <w:r w:rsidRPr="00BE58CA">
              <w:rPr>
                <w:rFonts w:ascii="Times New Roman" w:hAnsi="Times New Roman" w:cs="Times New Roman"/>
                <w:b/>
                <w:sz w:val="20"/>
                <w:szCs w:val="20"/>
                <w:u w:val="single"/>
              </w:rPr>
              <w:t>200 000</w:t>
            </w:r>
            <w:r w:rsidRPr="00BE58CA">
              <w:rPr>
                <w:rFonts w:ascii="Times New Roman" w:hAnsi="Times New Roman" w:cs="Times New Roman"/>
                <w:sz w:val="20"/>
                <w:szCs w:val="20"/>
              </w:rPr>
              <w:t xml:space="preserve"> неоподатковуваних мінімумів доходів громадян.</w:t>
            </w:r>
          </w:p>
          <w:p w:rsidR="00B636F6" w:rsidRPr="00BE58CA" w:rsidRDefault="00B636F6" w:rsidP="005E1E70">
            <w:pPr>
              <w:jc w:val="both"/>
              <w:rPr>
                <w:rFonts w:ascii="Times New Roman" w:hAnsi="Times New Roman" w:cs="Times New Roman"/>
                <w:sz w:val="20"/>
                <w:szCs w:val="20"/>
              </w:rPr>
            </w:pPr>
          </w:p>
        </w:tc>
      </w:tr>
      <w:tr w:rsidR="00B636F6" w:rsidRPr="00BE58CA" w:rsidTr="005E1E70">
        <w:tblPrEx>
          <w:tblLook w:val="04A0" w:firstRow="1" w:lastRow="0" w:firstColumn="1" w:lastColumn="0" w:noHBand="0" w:noVBand="1"/>
        </w:tblPrEx>
        <w:tc>
          <w:tcPr>
            <w:tcW w:w="4815" w:type="dxa"/>
          </w:tcPr>
          <w:p w:rsidR="00B636F6" w:rsidRPr="00BE58CA" w:rsidRDefault="00602F71"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Абзац 3 частини 7</w:t>
            </w:r>
            <w:r w:rsidR="00B636F6" w:rsidRPr="00BE58CA">
              <w:rPr>
                <w:rFonts w:ascii="Times New Roman" w:hAnsi="Times New Roman" w:cs="Times New Roman"/>
                <w:b/>
                <w:sz w:val="20"/>
                <w:szCs w:val="20"/>
              </w:rPr>
              <w:t xml:space="preserve"> статті 32</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w:t>
            </w:r>
          </w:p>
          <w:p w:rsidR="00B636F6" w:rsidRPr="00BE58CA" w:rsidRDefault="00602F71" w:rsidP="005E1E70">
            <w:pPr>
              <w:jc w:val="both"/>
              <w:rPr>
                <w:rFonts w:ascii="Times New Roman" w:hAnsi="Times New Roman" w:cs="Times New Roman"/>
                <w:sz w:val="20"/>
                <w:szCs w:val="20"/>
              </w:rPr>
            </w:pPr>
            <w:r w:rsidRPr="00BE58CA">
              <w:rPr>
                <w:rFonts w:ascii="Times New Roman" w:hAnsi="Times New Roman" w:cs="Times New Roman"/>
                <w:sz w:val="20"/>
                <w:szCs w:val="20"/>
              </w:rPr>
              <w:t>7</w:t>
            </w:r>
            <w:r w:rsidR="00B636F6" w:rsidRPr="00BE58CA">
              <w:rPr>
                <w:rFonts w:ascii="Times New Roman" w:hAnsi="Times New Roman" w:cs="Times New Roman"/>
                <w:sz w:val="20"/>
                <w:szCs w:val="20"/>
              </w:rPr>
              <w:t>. При визначенні виду заходів впливу та розміру штрафу суб’єкти державного фінансового моніторингу враховують обставини вчиненого порушення, у тому числі:</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lastRenderedPageBreak/>
              <w:t>фінансовий стан суб’єкта первинного фінансового моніторингу.</w:t>
            </w:r>
          </w:p>
        </w:tc>
        <w:tc>
          <w:tcPr>
            <w:tcW w:w="4819" w:type="dxa"/>
          </w:tcPr>
          <w:p w:rsidR="00B636F6" w:rsidRPr="00BE58CA" w:rsidRDefault="00B636F6" w:rsidP="005E1E70">
            <w:pPr>
              <w:jc w:val="both"/>
              <w:rPr>
                <w:rFonts w:ascii="Times New Roman" w:hAnsi="Times New Roman" w:cs="Times New Roman"/>
                <w:sz w:val="20"/>
                <w:szCs w:val="20"/>
              </w:rPr>
            </w:pP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Уточнення норми, яка в запроп</w:t>
            </w:r>
            <w:r w:rsidRPr="00BE58CA">
              <w:rPr>
                <w:rFonts w:ascii="Times New Roman" w:hAnsi="Times New Roman" w:cs="Times New Roman"/>
                <w:sz w:val="20"/>
                <w:szCs w:val="20"/>
                <w:lang w:val="ru-RU"/>
              </w:rPr>
              <w:t>о</w:t>
            </w:r>
            <w:r w:rsidRPr="00BE58CA">
              <w:rPr>
                <w:rFonts w:ascii="Times New Roman" w:hAnsi="Times New Roman" w:cs="Times New Roman"/>
                <w:sz w:val="20"/>
                <w:szCs w:val="20"/>
              </w:rPr>
              <w:t>нованій редакції визначає поняття фінансового стану при накладенні санкцій на суб’єкта первинного фінансового моніторингу.</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lastRenderedPageBreak/>
              <w:t>Запропонована норма відповідає пункту с частини 4 статті 60 Директиви (ЄС) 2015/849 від 20 травня 2015 року.</w:t>
            </w:r>
          </w:p>
        </w:tc>
        <w:tc>
          <w:tcPr>
            <w:tcW w:w="5494"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u w:val="single"/>
              </w:rPr>
              <w:lastRenderedPageBreak/>
              <w:t>Доповнити словами:</w:t>
            </w:r>
            <w:r w:rsidRPr="00BE58CA">
              <w:rPr>
                <w:rFonts w:ascii="Times New Roman" w:hAnsi="Times New Roman" w:cs="Times New Roman"/>
                <w:sz w:val="20"/>
                <w:szCs w:val="20"/>
              </w:rPr>
              <w:t xml:space="preserve"> «який визначається  як загальний фінансовий обіг суб’єкта первинного фінансового моніторингу, що притягається до відповідальності, на момент здійснення перевірки» та </w:t>
            </w:r>
            <w:r w:rsidRPr="00BE58CA">
              <w:rPr>
                <w:rFonts w:ascii="Times New Roman" w:hAnsi="Times New Roman" w:cs="Times New Roman"/>
                <w:sz w:val="20"/>
                <w:szCs w:val="20"/>
                <w:u w:val="single"/>
              </w:rPr>
              <w:t>викласти в такій редакції</w:t>
            </w:r>
            <w:r w:rsidRPr="00BE58CA">
              <w:rPr>
                <w:rFonts w:ascii="Times New Roman" w:hAnsi="Times New Roman" w:cs="Times New Roman"/>
                <w:sz w:val="20"/>
                <w:szCs w:val="20"/>
              </w:rPr>
              <w:t>:</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 xml:space="preserve">фінансовий стан суб’єкта первинного фінансового моніторингу, який визначається як загальний фінансовий обіг суб’єкта первинного фінансового моніторингу, що </w:t>
            </w:r>
            <w:r w:rsidRPr="00BE58CA">
              <w:rPr>
                <w:rFonts w:ascii="Times New Roman" w:hAnsi="Times New Roman" w:cs="Times New Roman"/>
                <w:sz w:val="20"/>
                <w:szCs w:val="20"/>
              </w:rPr>
              <w:lastRenderedPageBreak/>
              <w:t>притягається до відповідальності, на момент здійснення перевірки.</w:t>
            </w:r>
          </w:p>
        </w:tc>
      </w:tr>
      <w:tr w:rsidR="00B636F6" w:rsidRPr="00BE58CA" w:rsidTr="00BE58CA">
        <w:tblPrEx>
          <w:tblLook w:val="04A0" w:firstRow="1" w:lastRow="0" w:firstColumn="1" w:lastColumn="0" w:noHBand="0" w:noVBand="1"/>
        </w:tblPrEx>
        <w:trPr>
          <w:trHeight w:val="3258"/>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lastRenderedPageBreak/>
              <w:t>Абзац 2 і 3 пункту 8 статті 32</w:t>
            </w: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Відсутні</w:t>
            </w: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jc w:val="center"/>
              <w:rPr>
                <w:rFonts w:ascii="Times New Roman" w:hAnsi="Times New Roman" w:cs="Times New Roman"/>
                <w:b/>
                <w:sz w:val="20"/>
                <w:szCs w:val="20"/>
              </w:rPr>
            </w:pPr>
          </w:p>
          <w:p w:rsidR="00B636F6" w:rsidRPr="00BE58CA" w:rsidRDefault="00B636F6" w:rsidP="005E1E70">
            <w:pPr>
              <w:rPr>
                <w:rFonts w:ascii="Times New Roman" w:hAnsi="Times New Roman" w:cs="Times New Roman"/>
                <w:b/>
                <w:sz w:val="20"/>
                <w:szCs w:val="20"/>
              </w:rPr>
            </w:pPr>
          </w:p>
        </w:tc>
        <w:tc>
          <w:tcPr>
            <w:tcW w:w="4819" w:type="dxa"/>
          </w:tcPr>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Дана норма покладає на суб’єкта державного фінансого моніторингу обов’язок належного аналізу даних/інформації при застосуванні санкцій щодо суб’єкта первинного фінансового моніторингу, тим самим мінімізуючи корупційні ризики.</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sz w:val="20"/>
                <w:szCs w:val="20"/>
              </w:rPr>
              <w:t>Враховуючи, що суб’єктом первинного фінансового моніторингу можуть бути вчинені незначні правопорушення, які можуть бути виправлені в ході перевірки, запропонована норма дозволить здійснювати заходи захочення та мінімізувати корупційні ризики при проведенні перевірки.</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Додати до пункту 8 статті 32 два абзаци наступного змісту:</w:t>
            </w:r>
          </w:p>
          <w:p w:rsidR="00B636F6" w:rsidRPr="00BE58CA" w:rsidRDefault="00B636F6" w:rsidP="005E1E70">
            <w:pPr>
              <w:jc w:val="both"/>
              <w:rPr>
                <w:rFonts w:ascii="Times New Roman" w:hAnsi="Times New Roman" w:cs="Times New Roman"/>
                <w:b/>
                <w:sz w:val="20"/>
                <w:szCs w:val="20"/>
              </w:rPr>
            </w:pPr>
            <w:r w:rsidRPr="00BE58CA">
              <w:rPr>
                <w:rFonts w:ascii="Times New Roman" w:hAnsi="Times New Roman" w:cs="Times New Roman"/>
                <w:b/>
                <w:sz w:val="20"/>
                <w:szCs w:val="20"/>
              </w:rPr>
              <w:t>Суб’єкт державного фінансового моніторингу зобов’язаний приймати рішення про накладення санкції лише у разі ґрунтовного дослідження всіх необхідних матеріалів та/або даних та/або інформації щодо окремого правопорушення, щоб мати змогу документально підтвердити достатність підстав для застосування заходів впливу.</w:t>
            </w:r>
          </w:p>
          <w:p w:rsidR="00B636F6" w:rsidRPr="00BE58CA" w:rsidRDefault="00B636F6" w:rsidP="005E1E70">
            <w:pPr>
              <w:jc w:val="both"/>
              <w:rPr>
                <w:sz w:val="20"/>
                <w:szCs w:val="20"/>
              </w:rPr>
            </w:pPr>
            <w:r w:rsidRPr="00BE58CA">
              <w:rPr>
                <w:rFonts w:ascii="Times New Roman" w:hAnsi="Times New Roman" w:cs="Times New Roman"/>
                <w:sz w:val="20"/>
                <w:szCs w:val="20"/>
              </w:rPr>
              <w:t>Суб'єкт державного фінансового моніторингу не має права приймати рішення про накладення санкцій на суб'єкта первинного фінансового моніторингу під час здійснення ним перевірки, у разі, якщо суб'єкт первинного фінансового моніторингу під час перевірки нівелював таке правопорушення.</w:t>
            </w:r>
          </w:p>
        </w:tc>
      </w:tr>
      <w:tr w:rsidR="00B636F6" w:rsidRPr="00BE58CA" w:rsidTr="00BE58CA">
        <w:tblPrEx>
          <w:tblLook w:val="04A0" w:firstRow="1" w:lastRow="0" w:firstColumn="1" w:lastColumn="0" w:noHBand="0" w:noVBand="1"/>
        </w:tblPrEx>
        <w:trPr>
          <w:trHeight w:val="555"/>
        </w:trPr>
        <w:tc>
          <w:tcPr>
            <w:tcW w:w="4815" w:type="dxa"/>
          </w:tcPr>
          <w:p w:rsidR="00B636F6" w:rsidRPr="00BE58CA" w:rsidRDefault="00B636F6" w:rsidP="005E1E70">
            <w:pPr>
              <w:jc w:val="center"/>
              <w:rPr>
                <w:rFonts w:ascii="Times New Roman" w:hAnsi="Times New Roman" w:cs="Times New Roman"/>
                <w:b/>
                <w:sz w:val="20"/>
                <w:szCs w:val="20"/>
              </w:rPr>
            </w:pPr>
            <w:r w:rsidRPr="00BE58CA">
              <w:rPr>
                <w:rFonts w:ascii="Times New Roman" w:hAnsi="Times New Roman" w:cs="Times New Roman"/>
                <w:b/>
                <w:sz w:val="20"/>
                <w:szCs w:val="20"/>
              </w:rPr>
              <w:t>Частина 10 статті 32</w:t>
            </w:r>
          </w:p>
          <w:p w:rsidR="00B636F6" w:rsidRPr="00BE58CA" w:rsidRDefault="00B636F6" w:rsidP="005E1E70">
            <w:pPr>
              <w:jc w:val="both"/>
              <w:rPr>
                <w:rFonts w:ascii="Times New Roman" w:hAnsi="Times New Roman" w:cs="Times New Roman"/>
                <w:sz w:val="20"/>
                <w:szCs w:val="20"/>
              </w:rPr>
            </w:pPr>
            <w:bookmarkStart w:id="0" w:name="_GoBack"/>
            <w:bookmarkEnd w:id="0"/>
            <w:r w:rsidRPr="00BE58CA">
              <w:rPr>
                <w:rFonts w:ascii="Times New Roman" w:hAnsi="Times New Roman" w:cs="Times New Roman"/>
                <w:sz w:val="20"/>
                <w:szCs w:val="20"/>
              </w:rPr>
              <w:t>Рішення (постанова) суб’єкта державного фінансового моніторингу (його уповноваженої посадової особи) про застосування до суб’єкта первинного фінансового моніторингу заходів впливу, передбачених цією статтею, набирає законної сили з дати його (її) прийняття…</w:t>
            </w:r>
          </w:p>
          <w:p w:rsidR="00B636F6" w:rsidRPr="00BE58CA" w:rsidRDefault="00B636F6" w:rsidP="005E1E70">
            <w:pPr>
              <w:jc w:val="both"/>
              <w:rPr>
                <w:rFonts w:ascii="Times New Roman" w:hAnsi="Times New Roman" w:cs="Times New Roman"/>
                <w:sz w:val="20"/>
                <w:szCs w:val="20"/>
                <w:lang w:val="ru-RU"/>
              </w:rPr>
            </w:pPr>
            <w:r w:rsidRPr="00BE58CA">
              <w:rPr>
                <w:rFonts w:ascii="Times New Roman" w:hAnsi="Times New Roman" w:cs="Times New Roman"/>
                <w:sz w:val="20"/>
                <w:szCs w:val="20"/>
              </w:rPr>
              <w:t>Оскарження рішення (постанови) суб’єкта державного фінансового моніторингу (його уповноваженої посадової особи) про застосув</w:t>
            </w:r>
            <w:r w:rsidRPr="00BE58CA">
              <w:rPr>
                <w:rFonts w:ascii="Times New Roman" w:hAnsi="Times New Roman" w:cs="Times New Roman"/>
                <w:sz w:val="20"/>
                <w:szCs w:val="20"/>
                <w:lang w:val="ru-RU"/>
              </w:rPr>
              <w:t xml:space="preserve">ання до суб’єкта первинного фінансового моніторингу штрафних санкцій, передбачених цією статтею, здійснюється в судовому порядку виключно з метою встановлення законності прийняття такого рішення (постанови) </w:t>
            </w:r>
            <w:r w:rsidRPr="00BE58CA">
              <w:rPr>
                <w:rFonts w:ascii="Times New Roman" w:hAnsi="Times New Roman" w:cs="Times New Roman"/>
                <w:strike/>
                <w:sz w:val="20"/>
                <w:szCs w:val="20"/>
                <w:lang w:val="ru-RU"/>
              </w:rPr>
              <w:t>та не зупиняє виконання суб’єктом первинного фінансового моніторингу застосованої санкції.</w:t>
            </w:r>
          </w:p>
        </w:tc>
        <w:tc>
          <w:tcPr>
            <w:tcW w:w="4819" w:type="dxa"/>
          </w:tcPr>
          <w:p w:rsidR="00B636F6" w:rsidRPr="00BE58CA" w:rsidRDefault="00B636F6" w:rsidP="005E1E70">
            <w:pPr>
              <w:jc w:val="both"/>
              <w:rPr>
                <w:rFonts w:ascii="Times New Roman" w:hAnsi="Times New Roman" w:cs="Times New Roman"/>
                <w:sz w:val="18"/>
                <w:szCs w:val="20"/>
              </w:rPr>
            </w:pPr>
            <w:r w:rsidRPr="00BE58CA">
              <w:rPr>
                <w:rFonts w:ascii="Times New Roman" w:hAnsi="Times New Roman" w:cs="Times New Roman"/>
                <w:sz w:val="18"/>
                <w:szCs w:val="20"/>
              </w:rPr>
              <w:t>Запропонована редакція норми нівелює корупційні ризики при накладенні санкцій на суб’єктів державного фінансового моніторингу.</w:t>
            </w:r>
          </w:p>
          <w:p w:rsidR="00B636F6" w:rsidRPr="00BE58CA" w:rsidRDefault="00B636F6" w:rsidP="005E1E70">
            <w:pPr>
              <w:jc w:val="both"/>
              <w:rPr>
                <w:rFonts w:ascii="Times New Roman" w:hAnsi="Times New Roman" w:cs="Times New Roman"/>
                <w:bCs/>
                <w:iCs/>
                <w:sz w:val="18"/>
                <w:szCs w:val="20"/>
              </w:rPr>
            </w:pPr>
            <w:r w:rsidRPr="00BE58CA">
              <w:rPr>
                <w:rFonts w:ascii="Times New Roman" w:hAnsi="Times New Roman" w:cs="Times New Roman"/>
                <w:sz w:val="18"/>
                <w:szCs w:val="20"/>
              </w:rPr>
              <w:t>Згідно з ч. 3 та ч. 4 ст. 117 КАС України подання адміністративного позову, а також відкриття провадження в адміністративній справі не зупиняють дію оскаржуваного рішення суб'єкта владних повноважень, але </w:t>
            </w:r>
            <w:r w:rsidRPr="00BE58CA">
              <w:rPr>
                <w:rFonts w:ascii="Times New Roman" w:hAnsi="Times New Roman" w:cs="Times New Roman"/>
                <w:bCs/>
                <w:iCs/>
                <w:sz w:val="18"/>
                <w:szCs w:val="20"/>
              </w:rPr>
              <w:t>суд у порядку забезпечення адміністративного позову може відповідною ухвалою зупинити дію рішення суб'єкта владних повноважень чи його окремих положень, що оскаржуються. Адміністративний позов, крім способу, встановленого частиною третьою цієї статті, може бути забезпечено забороною вчиняти певні дії.</w:t>
            </w:r>
          </w:p>
          <w:p w:rsidR="00B636F6" w:rsidRPr="00BE58CA" w:rsidRDefault="00B636F6" w:rsidP="005E1E70">
            <w:pPr>
              <w:jc w:val="both"/>
              <w:rPr>
                <w:rFonts w:ascii="Times New Roman" w:hAnsi="Times New Roman" w:cs="Times New Roman"/>
                <w:bCs/>
                <w:iCs/>
                <w:sz w:val="18"/>
                <w:szCs w:val="20"/>
              </w:rPr>
            </w:pPr>
            <w:r w:rsidRPr="00BE58CA">
              <w:rPr>
                <w:rFonts w:ascii="Times New Roman" w:hAnsi="Times New Roman" w:cs="Times New Roman"/>
                <w:sz w:val="18"/>
                <w:szCs w:val="20"/>
              </w:rPr>
              <w:t>З норм КАС України слідує, що </w:t>
            </w:r>
            <w:r w:rsidRPr="00BE58CA">
              <w:rPr>
                <w:rFonts w:ascii="Times New Roman" w:hAnsi="Times New Roman" w:cs="Times New Roman"/>
                <w:bCs/>
                <w:iCs/>
                <w:sz w:val="18"/>
                <w:szCs w:val="20"/>
              </w:rPr>
              <w:t xml:space="preserve">забезпечення позову в адміністративних справах допускається лише у двох формах: </w:t>
            </w:r>
          </w:p>
          <w:p w:rsidR="00B636F6" w:rsidRPr="00BE58CA" w:rsidRDefault="00B636F6" w:rsidP="005E1E70">
            <w:pPr>
              <w:jc w:val="both"/>
              <w:rPr>
                <w:rFonts w:ascii="Times New Roman" w:hAnsi="Times New Roman" w:cs="Times New Roman"/>
                <w:bCs/>
                <w:iCs/>
                <w:sz w:val="18"/>
                <w:szCs w:val="20"/>
              </w:rPr>
            </w:pPr>
            <w:r w:rsidRPr="00BE58CA">
              <w:rPr>
                <w:rFonts w:ascii="Times New Roman" w:hAnsi="Times New Roman" w:cs="Times New Roman"/>
                <w:bCs/>
                <w:iCs/>
                <w:sz w:val="18"/>
                <w:szCs w:val="20"/>
              </w:rPr>
              <w:t>1) зупинення дії рішення суб'єкта владних повноважень чи його окремих положень, що оскаржуються;</w:t>
            </w:r>
          </w:p>
          <w:p w:rsidR="00B636F6" w:rsidRPr="00BE58CA" w:rsidRDefault="00B636F6" w:rsidP="005E1E70">
            <w:pPr>
              <w:jc w:val="both"/>
              <w:rPr>
                <w:rFonts w:ascii="Times New Roman" w:hAnsi="Times New Roman" w:cs="Times New Roman"/>
                <w:bCs/>
                <w:iCs/>
                <w:sz w:val="18"/>
                <w:szCs w:val="20"/>
              </w:rPr>
            </w:pPr>
            <w:r w:rsidRPr="00BE58CA">
              <w:rPr>
                <w:rFonts w:ascii="Times New Roman" w:hAnsi="Times New Roman" w:cs="Times New Roman"/>
                <w:bCs/>
                <w:iCs/>
                <w:sz w:val="18"/>
                <w:szCs w:val="20"/>
              </w:rPr>
              <w:t xml:space="preserve">2) заборони вчиняти певні дії. </w:t>
            </w:r>
          </w:p>
          <w:p w:rsidR="00B636F6" w:rsidRPr="00BE58CA" w:rsidRDefault="00B636F6" w:rsidP="005E1E70">
            <w:pPr>
              <w:jc w:val="both"/>
              <w:rPr>
                <w:rFonts w:ascii="Times New Roman" w:hAnsi="Times New Roman" w:cs="Times New Roman"/>
                <w:sz w:val="20"/>
                <w:szCs w:val="20"/>
              </w:rPr>
            </w:pPr>
            <w:r w:rsidRPr="00BE58CA">
              <w:rPr>
                <w:rFonts w:ascii="Times New Roman" w:hAnsi="Times New Roman" w:cs="Times New Roman"/>
                <w:bCs/>
                <w:iCs/>
                <w:sz w:val="18"/>
                <w:szCs w:val="20"/>
              </w:rPr>
              <w:t>Наведений перелік підстав забезпечення позову є вичерпним.</w:t>
            </w:r>
          </w:p>
        </w:tc>
        <w:tc>
          <w:tcPr>
            <w:tcW w:w="5494" w:type="dxa"/>
          </w:tcPr>
          <w:p w:rsidR="00B636F6" w:rsidRPr="00BE58CA" w:rsidRDefault="00B636F6" w:rsidP="005E1E70">
            <w:pPr>
              <w:jc w:val="both"/>
              <w:rPr>
                <w:rFonts w:ascii="Times New Roman" w:hAnsi="Times New Roman" w:cs="Times New Roman"/>
                <w:sz w:val="20"/>
                <w:szCs w:val="20"/>
                <w:u w:val="single"/>
              </w:rPr>
            </w:pPr>
            <w:r w:rsidRPr="00BE58CA">
              <w:rPr>
                <w:rFonts w:ascii="Times New Roman" w:hAnsi="Times New Roman" w:cs="Times New Roman"/>
                <w:sz w:val="20"/>
                <w:szCs w:val="20"/>
                <w:u w:val="single"/>
              </w:rPr>
              <w:t>Викласти в наступній редакції:</w:t>
            </w:r>
          </w:p>
          <w:p w:rsidR="00B636F6" w:rsidRPr="00BE58CA" w:rsidRDefault="00B636F6" w:rsidP="005E1E70">
            <w:pPr>
              <w:jc w:val="both"/>
              <w:rPr>
                <w:rFonts w:ascii="Times New Roman" w:hAnsi="Times New Roman" w:cs="Times New Roman"/>
                <w:sz w:val="20"/>
                <w:szCs w:val="20"/>
                <w:lang w:val="ru-RU"/>
              </w:rPr>
            </w:pPr>
            <w:r w:rsidRPr="00BE58CA">
              <w:rPr>
                <w:rFonts w:ascii="Times New Roman" w:hAnsi="Times New Roman" w:cs="Times New Roman"/>
                <w:sz w:val="20"/>
                <w:szCs w:val="20"/>
                <w:lang w:val="ru-RU"/>
              </w:rPr>
              <w:t>…</w:t>
            </w:r>
          </w:p>
          <w:p w:rsidR="00B636F6" w:rsidRPr="00BE58CA" w:rsidRDefault="00B636F6" w:rsidP="005E1E70">
            <w:pPr>
              <w:jc w:val="both"/>
              <w:rPr>
                <w:sz w:val="20"/>
                <w:szCs w:val="20"/>
              </w:rPr>
            </w:pPr>
            <w:r w:rsidRPr="00BE58CA">
              <w:rPr>
                <w:rFonts w:ascii="Times New Roman" w:hAnsi="Times New Roman" w:cs="Times New Roman"/>
                <w:sz w:val="20"/>
                <w:szCs w:val="20"/>
                <w:lang w:val="ru-RU"/>
              </w:rPr>
              <w:t>Оскарження рішення (постанови) суб’єкта державного фінансового моніторингу (його уповноваженої посадової особи) про застосування до суб’єкта первинного фінансового моніторингу штрафних санкцій, передбачених цією статтею, здійснюється в судовому порядку виключно з метою встановлення законності прийняття такого рішення (постанови).</w:t>
            </w:r>
          </w:p>
        </w:tc>
      </w:tr>
    </w:tbl>
    <w:p w:rsidR="00602F71" w:rsidRPr="00BE58CA" w:rsidRDefault="00602F71">
      <w:pPr>
        <w:rPr>
          <w:rFonts w:ascii="Times New Roman" w:hAnsi="Times New Roman" w:cs="Times New Roman"/>
          <w:sz w:val="20"/>
          <w:szCs w:val="20"/>
        </w:rPr>
      </w:pPr>
    </w:p>
    <w:sectPr w:rsidR="00602F71" w:rsidRPr="00BE58CA" w:rsidSect="00B636F6">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9116F"/>
    <w:multiLevelType w:val="hybridMultilevel"/>
    <w:tmpl w:val="A1C21510"/>
    <w:lvl w:ilvl="0" w:tplc="23E8DE50">
      <w:start w:val="1"/>
      <w:numFmt w:val="decimal"/>
      <w:lvlText w:val="%1)"/>
      <w:lvlJc w:val="left"/>
      <w:pPr>
        <w:ind w:left="36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abstractNum w:abstractNumId="1" w15:restartNumberingAfterBreak="0">
    <w:nsid w:val="4D7713FF"/>
    <w:multiLevelType w:val="hybridMultilevel"/>
    <w:tmpl w:val="F18E8AA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2E30F04"/>
    <w:multiLevelType w:val="hybridMultilevel"/>
    <w:tmpl w:val="B47ED40E"/>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AF3"/>
    <w:rsid w:val="00052B4A"/>
    <w:rsid w:val="00066DD3"/>
    <w:rsid w:val="001F01D7"/>
    <w:rsid w:val="00467FBE"/>
    <w:rsid w:val="004B4135"/>
    <w:rsid w:val="00602F71"/>
    <w:rsid w:val="00621F51"/>
    <w:rsid w:val="006C5854"/>
    <w:rsid w:val="006D7AF3"/>
    <w:rsid w:val="006E7269"/>
    <w:rsid w:val="00877A95"/>
    <w:rsid w:val="0089214B"/>
    <w:rsid w:val="008B238D"/>
    <w:rsid w:val="008D4A12"/>
    <w:rsid w:val="008E7E8A"/>
    <w:rsid w:val="008F0322"/>
    <w:rsid w:val="009B2A24"/>
    <w:rsid w:val="00A057C7"/>
    <w:rsid w:val="00A7442E"/>
    <w:rsid w:val="00B26DAA"/>
    <w:rsid w:val="00B636F6"/>
    <w:rsid w:val="00BE58CA"/>
    <w:rsid w:val="00C415B3"/>
    <w:rsid w:val="00C75B3B"/>
    <w:rsid w:val="00C95D25"/>
    <w:rsid w:val="00E621FB"/>
    <w:rsid w:val="00E6384E"/>
    <w:rsid w:val="00EC361E"/>
    <w:rsid w:val="00F522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EAF1B"/>
  <w15:chartTrackingRefBased/>
  <w15:docId w15:val="{380C3776-D877-4A32-8F14-6583111A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6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63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522A6"/>
    <w:pPr>
      <w:ind w:left="720"/>
      <w:contextualSpacing/>
    </w:pPr>
  </w:style>
  <w:style w:type="paragraph" w:styleId="a5">
    <w:name w:val="Balloon Text"/>
    <w:basedOn w:val="a"/>
    <w:link w:val="a6"/>
    <w:uiPriority w:val="99"/>
    <w:semiHidden/>
    <w:unhideWhenUsed/>
    <w:rsid w:val="00A7442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744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69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10</Pages>
  <Words>19194</Words>
  <Characters>10941</Characters>
  <Application>Microsoft Office Word</Application>
  <DocSecurity>0</DocSecurity>
  <Lines>91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 Савченко</dc:creator>
  <cp:keywords/>
  <dc:description/>
  <cp:lastModifiedBy>Егор Савченко</cp:lastModifiedBy>
  <cp:revision>18</cp:revision>
  <cp:lastPrinted>2018-12-26T13:51:00Z</cp:lastPrinted>
  <dcterms:created xsi:type="dcterms:W3CDTF">2018-12-10T12:52:00Z</dcterms:created>
  <dcterms:modified xsi:type="dcterms:W3CDTF">2018-12-26T13:53:00Z</dcterms:modified>
</cp:coreProperties>
</file>