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1108A" w14:textId="229FB56F" w:rsidR="00DD7C3F" w:rsidRPr="00F335C9" w:rsidRDefault="00E7418C" w:rsidP="00E7418C">
      <w:pPr>
        <w:spacing w:after="0"/>
        <w:jc w:val="center"/>
        <w:rPr>
          <w:rFonts w:ascii="Times New Roman" w:hAnsi="Times New Roman" w:cs="Times New Roman"/>
        </w:rPr>
      </w:pPr>
      <w:r>
        <w:rPr>
          <w:rFonts w:ascii="Times New Roman" w:hAnsi="Times New Roman" w:cs="Times New Roman"/>
          <w:b/>
        </w:rPr>
        <w:t>Пропозиції ПАРД</w:t>
      </w:r>
      <w:bookmarkStart w:id="0" w:name="_GoBack"/>
      <w:bookmarkEnd w:id="0"/>
    </w:p>
    <w:p w14:paraId="718E74F3" w14:textId="2EFAA5AA" w:rsidR="00DD7C3F" w:rsidRPr="00F335C9" w:rsidRDefault="00DD7C3F" w:rsidP="00DD7C3F">
      <w:pPr>
        <w:spacing w:after="0"/>
        <w:jc w:val="both"/>
        <w:rPr>
          <w:rFonts w:ascii="Times New Roman" w:hAnsi="Times New Roman" w:cs="Times New Roman"/>
        </w:rPr>
      </w:pPr>
    </w:p>
    <w:p w14:paraId="60B223ED" w14:textId="5D63ED4C" w:rsidR="00DD7C3F" w:rsidRPr="00F335C9" w:rsidRDefault="00DD7C3F" w:rsidP="00DD7C3F">
      <w:pPr>
        <w:spacing w:after="0"/>
        <w:jc w:val="both"/>
        <w:rPr>
          <w:rFonts w:ascii="Times New Roman" w:hAnsi="Times New Roman" w:cs="Times New Roman"/>
          <w:b/>
        </w:rPr>
      </w:pPr>
      <w:r w:rsidRPr="00F335C9">
        <w:rPr>
          <w:rFonts w:ascii="Times New Roman" w:hAnsi="Times New Roman" w:cs="Times New Roman"/>
          <w:b/>
        </w:rPr>
        <w:t>Пріоритетні питання:</w:t>
      </w:r>
    </w:p>
    <w:p w14:paraId="51825380" w14:textId="77777777" w:rsidR="00DD7C3F" w:rsidRPr="00F335C9" w:rsidRDefault="00DD7C3F" w:rsidP="00DD7C3F">
      <w:pPr>
        <w:spacing w:after="0"/>
        <w:jc w:val="both"/>
        <w:rPr>
          <w:rFonts w:ascii="Times New Roman" w:hAnsi="Times New Roman" w:cs="Times New Roman"/>
        </w:rPr>
      </w:pPr>
    </w:p>
    <w:p w14:paraId="7A4D00F7" w14:textId="77777777" w:rsidR="00DD7C3F" w:rsidRPr="00F335C9" w:rsidRDefault="00DD7C3F" w:rsidP="00DD7C3F">
      <w:pPr>
        <w:pStyle w:val="a3"/>
        <w:numPr>
          <w:ilvl w:val="0"/>
          <w:numId w:val="2"/>
        </w:numPr>
        <w:jc w:val="both"/>
        <w:rPr>
          <w:rFonts w:ascii="Times New Roman" w:hAnsi="Times New Roman" w:cs="Times New Roman"/>
          <w:b/>
        </w:rPr>
      </w:pPr>
      <w:r w:rsidRPr="00F335C9">
        <w:rPr>
          <w:rFonts w:ascii="Times New Roman" w:hAnsi="Times New Roman" w:cs="Times New Roman"/>
          <w:b/>
        </w:rPr>
        <w:t>особливості порядку прийняття актів</w:t>
      </w:r>
    </w:p>
    <w:p w14:paraId="772B0DD2" w14:textId="77777777" w:rsidR="00DD7C3F" w:rsidRPr="00F335C9" w:rsidRDefault="00DD7C3F" w:rsidP="00DD7C3F">
      <w:pPr>
        <w:jc w:val="both"/>
        <w:rPr>
          <w:rFonts w:ascii="Times New Roman" w:hAnsi="Times New Roman" w:cs="Times New Roman"/>
        </w:rPr>
      </w:pPr>
      <w:r w:rsidRPr="00F335C9">
        <w:rPr>
          <w:rFonts w:ascii="Times New Roman" w:hAnsi="Times New Roman" w:cs="Times New Roman"/>
        </w:rPr>
        <w:t>Законопроектом передбачається включення до Закону України «Про державне регулювання ринку цінних паперів в Україні» статті 8</w:t>
      </w:r>
      <w:r w:rsidRPr="00F335C9">
        <w:rPr>
          <w:rFonts w:ascii="Times New Roman" w:hAnsi="Times New Roman" w:cs="Times New Roman"/>
          <w:vertAlign w:val="superscript"/>
        </w:rPr>
        <w:t>1</w:t>
      </w:r>
      <w:r w:rsidRPr="00F335C9">
        <w:rPr>
          <w:rFonts w:ascii="Times New Roman" w:hAnsi="Times New Roman" w:cs="Times New Roman"/>
        </w:rPr>
        <w:t xml:space="preserve">, якою передбачається, що рішення НКЦПФР (не підлягають державній реєстрації Міністерством юстиції України (далі – Мін’юст) і не потребують узгодження або схвалення органами державної влади, іншими державними органами та не можуть скасовуватися ними, крім випадків, передбачених законом. Однак, на нашу думку такий підхід є занадто радикальним через декілька причин. </w:t>
      </w:r>
    </w:p>
    <w:p w14:paraId="49BE2880" w14:textId="77777777" w:rsidR="00DD7C3F" w:rsidRPr="00F335C9" w:rsidRDefault="00DD7C3F" w:rsidP="00DD7C3F">
      <w:pPr>
        <w:jc w:val="both"/>
        <w:rPr>
          <w:rFonts w:ascii="Times New Roman" w:hAnsi="Times New Roman" w:cs="Times New Roman"/>
        </w:rPr>
      </w:pPr>
      <w:r w:rsidRPr="00F335C9">
        <w:rPr>
          <w:rFonts w:ascii="Times New Roman" w:hAnsi="Times New Roman" w:cs="Times New Roman"/>
        </w:rPr>
        <w:t xml:space="preserve">По-перше, запропонована норма напряму суперечить Указу Президента України від 03 жовтня 1992 року №493/92 «Про державну реєстрацію нормативно-правових актів міністерств та інших органів виконавчої влади» в якому закріплено, що нормативно-правові акти, які видаються міністерствами, іншими органами виконавчої влади, органами господарського управління та контролю і які зачіпають права, свободи й законні інтереси громадян або мають міжвідомчий характер, підлягають державній реєстрації. Надання лише нормативно-правовим актам Комісії такого виключення суперечить принципам правової визначеності та захисту довіри, які є невід’ємною, органічною складовою принципу верховенства права. Однією з гарантій принципу правової визначеності певною мірою є розподіл повноважень на основі системи стримувань і </w:t>
      </w:r>
      <w:proofErr w:type="spellStart"/>
      <w:r w:rsidRPr="00F335C9">
        <w:rPr>
          <w:rFonts w:ascii="Times New Roman" w:hAnsi="Times New Roman" w:cs="Times New Roman"/>
        </w:rPr>
        <w:t>противаг</w:t>
      </w:r>
      <w:proofErr w:type="spellEnd"/>
      <w:r w:rsidRPr="00F335C9">
        <w:rPr>
          <w:rFonts w:ascii="Times New Roman" w:hAnsi="Times New Roman" w:cs="Times New Roman"/>
        </w:rPr>
        <w:t xml:space="preserve"> з огляду на те, що він перешкоджає внесенню надто частих та свавільних змін до позитивного права. Суб’єкт правовідносин завжди повинен мати можливість орієнтувати свою поведінку таким чином, щоб вона відповідала вимогам норми на момент вчинення. Учасники ринку повинні мати змогу прогнозувати майбутні законодавчі зміни, планувати свою діяльність та мати можливість передбачати правові наслідки своєї поведінки. В цьому контексті варто згадати і про Меморандум про економічну та фінансову політику, схвалений 18 грудня 2018, в якому згадується відповідність стандартам IOSCO, в яких закріплений принцип чіткості та прогнозованості регулятивного процесу. </w:t>
      </w:r>
    </w:p>
    <w:p w14:paraId="1F24900B" w14:textId="419975F0" w:rsidR="00DD7C3F" w:rsidRPr="00F335C9" w:rsidRDefault="00DD7C3F" w:rsidP="00DD7C3F">
      <w:pPr>
        <w:jc w:val="both"/>
        <w:rPr>
          <w:rFonts w:ascii="Times New Roman" w:hAnsi="Times New Roman" w:cs="Times New Roman"/>
        </w:rPr>
      </w:pPr>
      <w:r w:rsidRPr="00F335C9">
        <w:rPr>
          <w:rFonts w:ascii="Times New Roman" w:hAnsi="Times New Roman" w:cs="Times New Roman"/>
        </w:rPr>
        <w:t>По-друге, в Принципі 2 Розділу А «Цілей та принципів регулювання ринків цінних паперів» IOSCO (надалі – Принципи IOSCO) процедура попередньої реєстрації актів регулятора не виключається, а в Методології принципів IOSCO, яка використовується для проведення об'єктивної оцінки рівня реалізації Принципів IOSCO в юрисдикціях країн-членів, зазначається, що достатнім є щоб процедура була чіткою, а сам процес прозорим. Отже, акти НКЦПФР можуть при реєстрації переглядатися Мін’юстом для гарантування їх цілісності. Тому, наприклад, процедура може передбачати автоматичну реєстрацію актів з можливістю подання Мін’юстом протягом 10 днів своїх зауважень та заперечень до нього. При цьому серед пакету документів, які НКЦПФР подаватиме Мін’юсту, обов’язково має бути висновок СРО щодо даного акту.</w:t>
      </w:r>
    </w:p>
    <w:p w14:paraId="012BC47E" w14:textId="77777777" w:rsidR="00DD7C3F" w:rsidRPr="00F335C9" w:rsidRDefault="00DD7C3F" w:rsidP="00DD7C3F">
      <w:pPr>
        <w:pStyle w:val="a3"/>
        <w:numPr>
          <w:ilvl w:val="0"/>
          <w:numId w:val="1"/>
        </w:numPr>
        <w:jc w:val="both"/>
        <w:rPr>
          <w:rFonts w:ascii="Times New Roman" w:hAnsi="Times New Roman" w:cs="Times New Roman"/>
          <w:b/>
        </w:rPr>
      </w:pPr>
      <w:r w:rsidRPr="00F335C9">
        <w:rPr>
          <w:rFonts w:ascii="Times New Roman" w:hAnsi="Times New Roman" w:cs="Times New Roman"/>
          <w:b/>
        </w:rPr>
        <w:t>внески на регулювання</w:t>
      </w:r>
    </w:p>
    <w:p w14:paraId="6DA57123" w14:textId="595262F8" w:rsidR="00F335C9" w:rsidRPr="00F335C9" w:rsidRDefault="00F335C9" w:rsidP="00F335C9">
      <w:pPr>
        <w:shd w:val="clear" w:color="auto" w:fill="FFFFFF"/>
        <w:spacing w:after="0" w:line="240" w:lineRule="auto"/>
        <w:jc w:val="both"/>
        <w:rPr>
          <w:rFonts w:ascii="Times New Roman" w:eastAsia="Times New Roman" w:hAnsi="Times New Roman" w:cs="Times New Roman"/>
          <w:color w:val="222222"/>
          <w:lang w:eastAsia="uk-UA"/>
        </w:rPr>
      </w:pPr>
      <w:r w:rsidRPr="00F335C9">
        <w:rPr>
          <w:rFonts w:ascii="Times New Roman" w:eastAsia="Times New Roman" w:hAnsi="Times New Roman" w:cs="Times New Roman"/>
          <w:color w:val="222222"/>
          <w:lang w:eastAsia="uk-UA"/>
        </w:rPr>
        <w:t>Розмір відсоткової ставки має бути встановлений за аналогією з Національною комісією, що здійснює державне регулювання у сферах енергетики та комунальних послуг у розмірі: «</w:t>
      </w:r>
      <w:r w:rsidRPr="00F335C9">
        <w:rPr>
          <w:rFonts w:ascii="Times New Roman" w:hAnsi="Times New Roman" w:cs="Times New Roman"/>
          <w:i/>
          <w:lang w:eastAsia="ru-RU"/>
        </w:rPr>
        <w:t>річна ставка внеску на регулювання не може перевищувати 0,1 відсотка….</w:t>
      </w:r>
      <w:r w:rsidRPr="00F335C9">
        <w:rPr>
          <w:rFonts w:ascii="Times New Roman" w:eastAsia="Times New Roman" w:hAnsi="Times New Roman" w:cs="Times New Roman"/>
          <w:color w:val="222222"/>
          <w:lang w:eastAsia="uk-UA"/>
        </w:rPr>
        <w:t>» без встановлення найнижчої межі. Наприклад:</w:t>
      </w:r>
    </w:p>
    <w:p w14:paraId="7EF2385B" w14:textId="48AB9BFC" w:rsidR="00F335C9" w:rsidRPr="00F335C9" w:rsidRDefault="00F335C9" w:rsidP="00F335C9">
      <w:pPr>
        <w:shd w:val="clear" w:color="auto" w:fill="FFFFFF"/>
        <w:spacing w:after="0" w:line="240" w:lineRule="auto"/>
        <w:jc w:val="both"/>
        <w:rPr>
          <w:rFonts w:ascii="Times New Roman" w:eastAsia="Times New Roman" w:hAnsi="Times New Roman" w:cs="Times New Roman"/>
          <w:color w:val="222222"/>
          <w:lang w:eastAsia="uk-UA"/>
        </w:rPr>
      </w:pPr>
      <w:r w:rsidRPr="00F335C9">
        <w:rPr>
          <w:rFonts w:ascii="Times New Roman" w:eastAsia="Times New Roman" w:hAnsi="Times New Roman" w:cs="Times New Roman"/>
          <w:color w:val="222222"/>
          <w:lang w:eastAsia="uk-UA"/>
        </w:rPr>
        <w:t>«</w:t>
      </w:r>
      <w:r w:rsidRPr="00F335C9">
        <w:rPr>
          <w:rFonts w:ascii="Times New Roman" w:eastAsia="Times New Roman" w:hAnsi="Times New Roman" w:cs="Times New Roman"/>
          <w:i/>
          <w:color w:val="222222"/>
          <w:lang w:eastAsia="uk-UA"/>
        </w:rPr>
        <w:t>з торговця цінними паперами – не більше 0,1 відсотка середнього за три роки чистого доходу від реалізації продукції (товарів, робіт, послуг)</w:t>
      </w:r>
      <w:r w:rsidRPr="00F335C9">
        <w:rPr>
          <w:rFonts w:ascii="Times New Roman" w:eastAsia="Times New Roman" w:hAnsi="Times New Roman" w:cs="Times New Roman"/>
          <w:color w:val="222222"/>
          <w:lang w:eastAsia="uk-UA"/>
        </w:rPr>
        <w:t xml:space="preserve">». </w:t>
      </w:r>
    </w:p>
    <w:p w14:paraId="7A8BEEDB" w14:textId="77777777" w:rsidR="00F335C9" w:rsidRPr="00F335C9" w:rsidRDefault="00F335C9" w:rsidP="00F335C9">
      <w:pPr>
        <w:shd w:val="clear" w:color="auto" w:fill="FFFFFF"/>
        <w:spacing w:after="0" w:line="240" w:lineRule="auto"/>
        <w:jc w:val="both"/>
        <w:rPr>
          <w:rFonts w:ascii="Times New Roman" w:eastAsia="Times New Roman" w:hAnsi="Times New Roman" w:cs="Times New Roman"/>
          <w:color w:val="222222"/>
          <w:lang w:eastAsia="uk-UA"/>
        </w:rPr>
      </w:pPr>
    </w:p>
    <w:p w14:paraId="20756600" w14:textId="77777777" w:rsidR="00DD7C3F" w:rsidRPr="00F335C9" w:rsidRDefault="00DD7C3F" w:rsidP="00DD7C3F">
      <w:pPr>
        <w:pStyle w:val="a3"/>
        <w:numPr>
          <w:ilvl w:val="0"/>
          <w:numId w:val="1"/>
        </w:numPr>
        <w:jc w:val="both"/>
        <w:rPr>
          <w:rFonts w:ascii="Times New Roman" w:hAnsi="Times New Roman" w:cs="Times New Roman"/>
          <w:b/>
        </w:rPr>
      </w:pPr>
      <w:r w:rsidRPr="00F335C9">
        <w:rPr>
          <w:rFonts w:ascii="Times New Roman" w:hAnsi="Times New Roman" w:cs="Times New Roman"/>
          <w:b/>
        </w:rPr>
        <w:t>плата за надання НКЦПФР адміністративних послуг</w:t>
      </w:r>
    </w:p>
    <w:p w14:paraId="52D6DA20" w14:textId="77777777" w:rsidR="00DD7C3F" w:rsidRPr="00F335C9" w:rsidRDefault="00DD7C3F" w:rsidP="00DD7C3F">
      <w:pPr>
        <w:jc w:val="both"/>
        <w:rPr>
          <w:rFonts w:ascii="Times New Roman" w:hAnsi="Times New Roman" w:cs="Times New Roman"/>
        </w:rPr>
      </w:pPr>
      <w:r w:rsidRPr="00F335C9">
        <w:rPr>
          <w:rFonts w:ascii="Times New Roman" w:hAnsi="Times New Roman" w:cs="Times New Roman"/>
        </w:rPr>
        <w:t>По-перше, за надання адміністративних послуг має бути встановлена фіксована плата не залежно від об’ємів випуску цінних паперів, адже не існує прямої залежності між об’ємом випуску та опрацьованих у зв’язку з цим документів.</w:t>
      </w:r>
    </w:p>
    <w:p w14:paraId="3D8478FE" w14:textId="4E325CE6" w:rsidR="00DD7C3F" w:rsidRPr="00F335C9" w:rsidRDefault="00A55922" w:rsidP="00DD7C3F">
      <w:pPr>
        <w:spacing w:after="200" w:line="276" w:lineRule="auto"/>
        <w:jc w:val="both"/>
        <w:rPr>
          <w:rFonts w:ascii="Times New Roman" w:hAnsi="Times New Roman" w:cs="Times New Roman"/>
          <w:b/>
        </w:rPr>
      </w:pPr>
      <w:r w:rsidRPr="00F335C9">
        <w:rPr>
          <w:rFonts w:ascii="Times New Roman" w:hAnsi="Times New Roman" w:cs="Times New Roman"/>
          <w:b/>
        </w:rPr>
        <w:t>Інші питання:</w:t>
      </w:r>
    </w:p>
    <w:p w14:paraId="723D2F5C" w14:textId="45CBFBB7" w:rsidR="007B2A3E" w:rsidRPr="00F335C9" w:rsidRDefault="007B2A3E" w:rsidP="007B2A3E">
      <w:pPr>
        <w:pStyle w:val="a3"/>
        <w:numPr>
          <w:ilvl w:val="0"/>
          <w:numId w:val="1"/>
        </w:numPr>
        <w:spacing w:after="200" w:line="276" w:lineRule="auto"/>
        <w:jc w:val="both"/>
        <w:rPr>
          <w:rFonts w:ascii="Times New Roman" w:hAnsi="Times New Roman" w:cs="Times New Roman"/>
          <w:b/>
        </w:rPr>
      </w:pPr>
      <w:r w:rsidRPr="00F335C9">
        <w:rPr>
          <w:rFonts w:ascii="Times New Roman" w:hAnsi="Times New Roman" w:cs="Times New Roman"/>
          <w:b/>
        </w:rPr>
        <w:t xml:space="preserve">адміністративна відповідальність за порушення </w:t>
      </w:r>
      <w:r w:rsidR="001925BD" w:rsidRPr="00F335C9">
        <w:rPr>
          <w:rFonts w:ascii="Times New Roman" w:hAnsi="Times New Roman" w:cs="Times New Roman"/>
          <w:b/>
        </w:rPr>
        <w:t xml:space="preserve">порядку розкриття інформації на </w:t>
      </w:r>
      <w:r w:rsidRPr="00F335C9">
        <w:rPr>
          <w:rFonts w:ascii="Times New Roman" w:hAnsi="Times New Roman" w:cs="Times New Roman"/>
          <w:b/>
        </w:rPr>
        <w:t>фондовому ринку</w:t>
      </w:r>
    </w:p>
    <w:p w14:paraId="304EE05F" w14:textId="77777777" w:rsidR="007B2A3E" w:rsidRPr="00F335C9" w:rsidRDefault="007B2A3E" w:rsidP="007B2A3E">
      <w:pPr>
        <w:spacing w:after="200" w:line="276" w:lineRule="auto"/>
        <w:jc w:val="both"/>
        <w:rPr>
          <w:rFonts w:ascii="Times New Roman" w:hAnsi="Times New Roman" w:cs="Times New Roman"/>
        </w:rPr>
      </w:pPr>
      <w:r w:rsidRPr="00F335C9">
        <w:rPr>
          <w:rFonts w:ascii="Times New Roman" w:hAnsi="Times New Roman" w:cs="Times New Roman"/>
        </w:rPr>
        <w:lastRenderedPageBreak/>
        <w:t>Дане питання потребує уваги через декілька моментів:</w:t>
      </w:r>
    </w:p>
    <w:p w14:paraId="5D027167" w14:textId="77777777" w:rsidR="007B2A3E" w:rsidRPr="00F335C9" w:rsidRDefault="007B2A3E" w:rsidP="007B2A3E">
      <w:pPr>
        <w:spacing w:after="200" w:line="276" w:lineRule="auto"/>
        <w:jc w:val="both"/>
        <w:rPr>
          <w:rFonts w:ascii="Times New Roman" w:hAnsi="Times New Roman" w:cs="Times New Roman"/>
        </w:rPr>
      </w:pPr>
      <w:r w:rsidRPr="00F335C9">
        <w:rPr>
          <w:rFonts w:ascii="Times New Roman" w:hAnsi="Times New Roman" w:cs="Times New Roman"/>
        </w:rPr>
        <w:t xml:space="preserve">По-перше, санкції статті мають бути фіксовані через необхідність уникнення корупційної складової, коли при накладенні адміністративного стягнення розмір стягнення віддається на розсуд НКЦПФР. </w:t>
      </w:r>
    </w:p>
    <w:p w14:paraId="41C574E7" w14:textId="77777777" w:rsidR="007B2A3E" w:rsidRPr="00F335C9" w:rsidRDefault="007B2A3E" w:rsidP="007B2A3E">
      <w:pPr>
        <w:spacing w:after="200" w:line="276" w:lineRule="auto"/>
        <w:jc w:val="both"/>
        <w:rPr>
          <w:rFonts w:ascii="Times New Roman" w:hAnsi="Times New Roman" w:cs="Times New Roman"/>
        </w:rPr>
      </w:pPr>
      <w:r w:rsidRPr="00F335C9">
        <w:rPr>
          <w:rFonts w:ascii="Times New Roman" w:hAnsi="Times New Roman" w:cs="Times New Roman"/>
        </w:rPr>
        <w:t>По-друге, вважаємо за доцільне встановити критерій істотності порушення при розкритті інформації на фондовому ринку, який також використовується при визначенні відповідальності особи, яка здійснила розголошення інформації, яка відома їй у зв’язку з професійною або службовою діяльністю, адже даний склад правопорушення майже ніколи не здатний привести до зазначених наслідків.  Також, пропонуємо встановити санкцію, у випадку не істотного порушення, у вигляді попередження.</w:t>
      </w:r>
    </w:p>
    <w:p w14:paraId="4F229EC1" w14:textId="77777777" w:rsidR="007B2A3E" w:rsidRPr="00F335C9" w:rsidRDefault="007B2A3E" w:rsidP="007B2A3E">
      <w:pPr>
        <w:pStyle w:val="a3"/>
        <w:numPr>
          <w:ilvl w:val="0"/>
          <w:numId w:val="1"/>
        </w:numPr>
        <w:jc w:val="both"/>
        <w:rPr>
          <w:rFonts w:ascii="Times New Roman" w:hAnsi="Times New Roman" w:cs="Times New Roman"/>
          <w:b/>
        </w:rPr>
      </w:pPr>
      <w:r w:rsidRPr="00F335C9">
        <w:rPr>
          <w:rFonts w:ascii="Times New Roman" w:hAnsi="Times New Roman" w:cs="Times New Roman"/>
          <w:b/>
        </w:rPr>
        <w:t>щодо відповідальності НКЦПФР</w:t>
      </w:r>
    </w:p>
    <w:p w14:paraId="7E312DF9" w14:textId="2194FE36" w:rsidR="007B2A3E" w:rsidRPr="00F335C9" w:rsidRDefault="007B2A3E" w:rsidP="007B2A3E">
      <w:pPr>
        <w:jc w:val="both"/>
        <w:rPr>
          <w:rFonts w:ascii="Times New Roman" w:hAnsi="Times New Roman" w:cs="Times New Roman"/>
        </w:rPr>
      </w:pPr>
      <w:r w:rsidRPr="00F335C9">
        <w:rPr>
          <w:rFonts w:ascii="Times New Roman" w:hAnsi="Times New Roman" w:cs="Times New Roman"/>
        </w:rPr>
        <w:t xml:space="preserve">Вважаємо за необхідне розширити відповідальність НКЦПФР. Комісія має нести відповідальність за збитки завдані нею не лише професійним учасникам ринку цінних паперів, а всім учасникам ринку цінних паперів, до яких відносяться й емітенти, інвестори, об’єднання професійних учасників, тощо. </w:t>
      </w:r>
    </w:p>
    <w:p w14:paraId="39EBAE9D" w14:textId="77777777" w:rsidR="007B2A3E" w:rsidRPr="00F335C9" w:rsidRDefault="007B2A3E" w:rsidP="007B2A3E">
      <w:pPr>
        <w:pStyle w:val="a3"/>
        <w:numPr>
          <w:ilvl w:val="0"/>
          <w:numId w:val="1"/>
        </w:numPr>
        <w:jc w:val="both"/>
        <w:rPr>
          <w:rFonts w:ascii="Times New Roman" w:hAnsi="Times New Roman" w:cs="Times New Roman"/>
        </w:rPr>
      </w:pPr>
      <w:r w:rsidRPr="00F335C9">
        <w:rPr>
          <w:rFonts w:ascii="Times New Roman" w:hAnsi="Times New Roman" w:cs="Times New Roman"/>
          <w:b/>
        </w:rPr>
        <w:t>вимоги до професійних учасників фондового ринку та осіб, які мають у них істотну участь</w:t>
      </w:r>
    </w:p>
    <w:p w14:paraId="21969441" w14:textId="374E4F1B" w:rsidR="007B2A3E" w:rsidRPr="00F335C9" w:rsidRDefault="007B2A3E" w:rsidP="007B2A3E">
      <w:pPr>
        <w:jc w:val="both"/>
        <w:rPr>
          <w:rFonts w:ascii="Times New Roman" w:hAnsi="Times New Roman" w:cs="Times New Roman"/>
        </w:rPr>
      </w:pPr>
      <w:r w:rsidRPr="00F335C9">
        <w:rPr>
          <w:rFonts w:ascii="Times New Roman" w:hAnsi="Times New Roman" w:cs="Times New Roman"/>
        </w:rPr>
        <w:t xml:space="preserve">Вважаємо, що кандидатури керівників фондових бірж та Центрального депозитарію цінних паперів не мають погоджуються з НКЦПФР, адже відповідності кандидата вимогам, які встановлені НКЦПФР цілком достатньо для забезпечення балансу інтересів між регулятор та акціонерами. </w:t>
      </w:r>
    </w:p>
    <w:p w14:paraId="523D8D42" w14:textId="2CD3BF43" w:rsidR="00DD7C3F" w:rsidRPr="00F335C9" w:rsidRDefault="00DD7C3F" w:rsidP="00DD7C3F">
      <w:pPr>
        <w:pStyle w:val="a3"/>
        <w:numPr>
          <w:ilvl w:val="0"/>
          <w:numId w:val="1"/>
        </w:numPr>
        <w:jc w:val="both"/>
        <w:rPr>
          <w:rFonts w:ascii="Times New Roman" w:hAnsi="Times New Roman" w:cs="Times New Roman"/>
          <w:b/>
        </w:rPr>
      </w:pPr>
      <w:r w:rsidRPr="00F335C9">
        <w:rPr>
          <w:rFonts w:ascii="Times New Roman" w:hAnsi="Times New Roman" w:cs="Times New Roman"/>
          <w:b/>
        </w:rPr>
        <w:t>обов’язкова сертифікація всіх працівників НКЦПФР</w:t>
      </w:r>
    </w:p>
    <w:p w14:paraId="525D26F5" w14:textId="7BBF8C8F" w:rsidR="00DD7C3F" w:rsidRPr="00F335C9" w:rsidRDefault="00B63C35" w:rsidP="00DD7C3F">
      <w:pPr>
        <w:jc w:val="both"/>
        <w:rPr>
          <w:rFonts w:ascii="Times New Roman" w:hAnsi="Times New Roman" w:cs="Times New Roman"/>
        </w:rPr>
      </w:pPr>
      <w:r w:rsidRPr="00F335C9">
        <w:rPr>
          <w:rFonts w:ascii="Times New Roman" w:hAnsi="Times New Roman" w:cs="Times New Roman"/>
        </w:rPr>
        <w:t xml:space="preserve">система підготовки та атестації фахівців фондового ринку із акцентом на професійні компетенції, що заснована на незалежній оцінці кандидатів згідно з кращими світовими практиками має відбуватися не лише щодо працівників професійних учасників фондового ринку, а й службовців НКЦПФР. </w:t>
      </w:r>
    </w:p>
    <w:p w14:paraId="28C24593" w14:textId="77777777" w:rsidR="007B2A3E" w:rsidRPr="00F335C9" w:rsidRDefault="007B2A3E" w:rsidP="007B2A3E">
      <w:pPr>
        <w:pStyle w:val="a3"/>
        <w:numPr>
          <w:ilvl w:val="0"/>
          <w:numId w:val="1"/>
        </w:numPr>
        <w:jc w:val="both"/>
        <w:rPr>
          <w:rFonts w:ascii="Times New Roman" w:hAnsi="Times New Roman" w:cs="Times New Roman"/>
        </w:rPr>
      </w:pPr>
      <w:r w:rsidRPr="00F335C9">
        <w:rPr>
          <w:rFonts w:ascii="Times New Roman" w:hAnsi="Times New Roman" w:cs="Times New Roman"/>
          <w:b/>
        </w:rPr>
        <w:t>розголошення комерційної, банківської таємниці або професійної таємниці на фондовому ринку</w:t>
      </w:r>
      <w:r w:rsidRPr="00F335C9">
        <w:rPr>
          <w:rFonts w:ascii="Times New Roman" w:hAnsi="Times New Roman" w:cs="Times New Roman"/>
        </w:rPr>
        <w:t xml:space="preserve"> </w:t>
      </w:r>
    </w:p>
    <w:p w14:paraId="3FF3E893" w14:textId="77777777" w:rsidR="007B2A3E" w:rsidRPr="00F335C9" w:rsidRDefault="007B2A3E" w:rsidP="007B2A3E">
      <w:pPr>
        <w:jc w:val="both"/>
        <w:rPr>
          <w:rFonts w:ascii="Times New Roman" w:hAnsi="Times New Roman" w:cs="Times New Roman"/>
        </w:rPr>
      </w:pPr>
      <w:r w:rsidRPr="00F335C9">
        <w:rPr>
          <w:rFonts w:ascii="Times New Roman" w:hAnsi="Times New Roman" w:cs="Times New Roman"/>
        </w:rPr>
        <w:t>Відповідальність за розголошення комерційної, банківської таємниці або професійної таємниці на фондовому ринку без згоди її власника особою, якій ця таємниця відома у зв’язку з професійною або службовою діяльністю, якщо воно завдало істотної шкоди суб’єкту господарської діяльності, має наступати не залежно від наявності в особи, яка здійснила розголошення такої інформації, умислу.</w:t>
      </w:r>
    </w:p>
    <w:p w14:paraId="0B2E36E2" w14:textId="77777777" w:rsidR="007B2A3E" w:rsidRPr="00F335C9" w:rsidRDefault="007B2A3E" w:rsidP="007B2A3E">
      <w:pPr>
        <w:jc w:val="both"/>
        <w:rPr>
          <w:rFonts w:ascii="Times New Roman" w:hAnsi="Times New Roman" w:cs="Times New Roman"/>
        </w:rPr>
      </w:pPr>
    </w:p>
    <w:p w14:paraId="6FDDBBE0" w14:textId="77777777" w:rsidR="000E4CD8" w:rsidRPr="00F335C9" w:rsidRDefault="000E4CD8">
      <w:pPr>
        <w:rPr>
          <w:rFonts w:ascii="Times New Roman" w:hAnsi="Times New Roman" w:cs="Times New Roman"/>
        </w:rPr>
      </w:pPr>
    </w:p>
    <w:sectPr w:rsidR="000E4CD8" w:rsidRPr="00F335C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207AA"/>
    <w:multiLevelType w:val="hybridMultilevel"/>
    <w:tmpl w:val="501EF0DE"/>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2DF7A56"/>
    <w:multiLevelType w:val="hybridMultilevel"/>
    <w:tmpl w:val="2BC45A9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76254586"/>
    <w:multiLevelType w:val="hybridMultilevel"/>
    <w:tmpl w:val="03F05FA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49"/>
    <w:rsid w:val="000E4CD8"/>
    <w:rsid w:val="00161622"/>
    <w:rsid w:val="00165805"/>
    <w:rsid w:val="001925BD"/>
    <w:rsid w:val="001A120F"/>
    <w:rsid w:val="00307E27"/>
    <w:rsid w:val="003E6C76"/>
    <w:rsid w:val="0041544F"/>
    <w:rsid w:val="004260AC"/>
    <w:rsid w:val="005608A5"/>
    <w:rsid w:val="00563992"/>
    <w:rsid w:val="006547C8"/>
    <w:rsid w:val="007B2A3E"/>
    <w:rsid w:val="007D7249"/>
    <w:rsid w:val="00A0317F"/>
    <w:rsid w:val="00A42B43"/>
    <w:rsid w:val="00A55922"/>
    <w:rsid w:val="00AA1674"/>
    <w:rsid w:val="00B43185"/>
    <w:rsid w:val="00B63C35"/>
    <w:rsid w:val="00BC0DF6"/>
    <w:rsid w:val="00D85D37"/>
    <w:rsid w:val="00DD7C3F"/>
    <w:rsid w:val="00E7418C"/>
    <w:rsid w:val="00E93BDF"/>
    <w:rsid w:val="00F335C9"/>
  </w:rsids>
  <m:mathPr>
    <m:mathFont m:val="Cambria Math"/>
    <m:brkBin m:val="before"/>
    <m:brkBinSub m:val="--"/>
    <m:smallFrac m:val="0"/>
    <m:dispDef/>
    <m:lMargin m:val="0"/>
    <m:rMargin m:val="0"/>
    <m:defJc m:val="centerGroup"/>
    <m:wrapIndent m:val="1440"/>
    <m:intLim m:val="subSup"/>
    <m:naryLim m:val="undOvr"/>
  </m:mathPr>
  <w:themeFontLang w:val="ru-RU" w:eastAsia="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DD553"/>
  <w15:chartTrackingRefBased/>
  <w15:docId w15:val="{6636DFBC-F7F5-4820-9BCF-B3C88B69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A3E"/>
    <w:rPr>
      <w:rFonts w:eastAsiaTheme="minorHAnsi" w:hAnsiTheme="minorHAnsi" w:cstheme="minorBid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A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2</Pages>
  <Words>3735</Words>
  <Characters>2130</Characters>
  <Application>Microsoft Office Word</Application>
  <DocSecurity>0</DocSecurity>
  <Lines>17</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Вікторія Кулініч</dc:creator>
  <cp:keywords/>
  <dc:description/>
  <cp:lastModifiedBy>Кулинич Виктория</cp:lastModifiedBy>
  <cp:revision>38</cp:revision>
  <cp:lastPrinted>2019-01-08T09:02:00Z</cp:lastPrinted>
  <dcterms:created xsi:type="dcterms:W3CDTF">2019-01-03T11:05:00Z</dcterms:created>
  <dcterms:modified xsi:type="dcterms:W3CDTF">2019-05-15T07:01:00Z</dcterms:modified>
</cp:coreProperties>
</file>