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80072" w14:textId="296D2749" w:rsidR="007335FE" w:rsidRPr="00D3604A" w:rsidRDefault="00D3604A" w:rsidP="00D3604A">
      <w:pPr>
        <w:jc w:val="center"/>
        <w:rPr>
          <w:rFonts w:ascii="Times New Roman" w:hAnsi="Times New Roman" w:cs="Times New Roman"/>
          <w:b/>
          <w:bCs/>
          <w:lang w:val="uk-UA"/>
        </w:rPr>
      </w:pPr>
      <w:r w:rsidRPr="00D3604A">
        <w:rPr>
          <w:rFonts w:ascii="Times New Roman" w:hAnsi="Times New Roman" w:cs="Times New Roman"/>
          <w:b/>
          <w:bCs/>
          <w:lang w:val="uk-UA"/>
        </w:rPr>
        <w:t>Закон України «</w:t>
      </w:r>
      <w:r w:rsidRPr="00D3604A">
        <w:rPr>
          <w:rFonts w:ascii="Times New Roman" w:hAnsi="Times New Roman" w:cs="Times New Roman"/>
          <w:b/>
          <w:bCs/>
        </w:rPr>
        <w:t>Про особливості регулювання діяльності юридичних осіб окремих організаційно-правових форм у перехідний період та об'єднань юридичних осіб</w:t>
      </w:r>
      <w:r w:rsidRPr="00D3604A">
        <w:rPr>
          <w:rFonts w:ascii="Times New Roman" w:hAnsi="Times New Roman" w:cs="Times New Roman"/>
          <w:b/>
          <w:bCs/>
          <w:lang w:val="uk-UA"/>
        </w:rPr>
        <w:t>»</w:t>
      </w:r>
    </w:p>
    <w:p w14:paraId="0D147199" w14:textId="77777777" w:rsidR="00D3604A" w:rsidRDefault="00D3604A"/>
    <w:p w14:paraId="6B40D40D" w14:textId="77777777" w:rsidR="00D3604A" w:rsidRDefault="00D3604A"/>
    <w:tbl>
      <w:tblPr>
        <w:tblStyle w:val="a3"/>
        <w:tblW w:w="14033" w:type="dxa"/>
        <w:tblInd w:w="279" w:type="dxa"/>
        <w:tblLook w:val="04A0" w:firstRow="1" w:lastRow="0" w:firstColumn="1" w:lastColumn="0" w:noHBand="0" w:noVBand="1"/>
      </w:tblPr>
      <w:tblGrid>
        <w:gridCol w:w="6909"/>
        <w:gridCol w:w="7124"/>
      </w:tblGrid>
      <w:tr w:rsidR="00D3604A" w:rsidRPr="00BE468E" w14:paraId="43BE62FB" w14:textId="77777777" w:rsidTr="00D3604A">
        <w:tc>
          <w:tcPr>
            <w:tcW w:w="6909" w:type="dxa"/>
          </w:tcPr>
          <w:p w14:paraId="3DE00730" w14:textId="773B0581" w:rsidR="00D3604A" w:rsidRPr="00BE468E" w:rsidRDefault="00D3604A">
            <w:pPr>
              <w:rPr>
                <w:rFonts w:ascii="Times New Roman" w:hAnsi="Times New Roman" w:cs="Times New Roman"/>
                <w:color w:val="333333"/>
                <w:sz w:val="22"/>
                <w:szCs w:val="22"/>
                <w:shd w:val="clear" w:color="auto" w:fill="FFFFFF"/>
                <w:lang w:val="uk-UA"/>
              </w:rPr>
            </w:pPr>
            <w:r w:rsidRPr="00BE468E">
              <w:rPr>
                <w:rFonts w:ascii="Times New Roman" w:hAnsi="Times New Roman" w:cs="Times New Roman"/>
                <w:b/>
                <w:bCs/>
                <w:sz w:val="22"/>
                <w:szCs w:val="22"/>
              </w:rPr>
              <w:t>Чинна редакц</w:t>
            </w:r>
            <w:proofErr w:type="spellStart"/>
            <w:r w:rsidRPr="00BE468E">
              <w:rPr>
                <w:rFonts w:ascii="Times New Roman" w:hAnsi="Times New Roman" w:cs="Times New Roman"/>
                <w:b/>
                <w:bCs/>
                <w:sz w:val="22"/>
                <w:szCs w:val="22"/>
                <w:lang w:val="uk-UA"/>
              </w:rPr>
              <w:t>ія</w:t>
            </w:r>
            <w:proofErr w:type="spellEnd"/>
            <w:r w:rsidRPr="00BE468E">
              <w:rPr>
                <w:rFonts w:ascii="Times New Roman" w:hAnsi="Times New Roman" w:cs="Times New Roman"/>
                <w:sz w:val="22"/>
                <w:szCs w:val="22"/>
                <w:lang w:val="uk-UA"/>
              </w:rPr>
              <w:t xml:space="preserve">, </w:t>
            </w:r>
            <w:r w:rsidRPr="00BE468E">
              <w:rPr>
                <w:rFonts w:ascii="Times New Roman" w:hAnsi="Times New Roman" w:cs="Times New Roman"/>
                <w:color w:val="333333"/>
                <w:sz w:val="22"/>
                <w:szCs w:val="22"/>
                <w:shd w:val="clear" w:color="auto" w:fill="FFFFFF"/>
              </w:rPr>
              <w:t>Закону України "Про захист інтересів суб’єктів подання звітності та інших документів у період дії воєнного стану або стану війни"</w:t>
            </w:r>
            <w:r w:rsidRPr="00BE468E">
              <w:rPr>
                <w:rFonts w:ascii="Times New Roman" w:hAnsi="Times New Roman" w:cs="Times New Roman"/>
                <w:color w:val="333333"/>
                <w:sz w:val="22"/>
                <w:szCs w:val="22"/>
                <w:shd w:val="clear" w:color="auto" w:fill="FFFFFF"/>
                <w:lang w:val="uk-UA"/>
              </w:rPr>
              <w:t xml:space="preserve"> </w:t>
            </w:r>
          </w:p>
          <w:p w14:paraId="27A7EF79" w14:textId="77777777" w:rsidR="00D3604A" w:rsidRPr="00BE468E" w:rsidRDefault="00D3604A">
            <w:pPr>
              <w:rPr>
                <w:rFonts w:ascii="Times New Roman" w:hAnsi="Times New Roman" w:cs="Times New Roman"/>
                <w:color w:val="333333"/>
                <w:sz w:val="22"/>
                <w:szCs w:val="22"/>
                <w:shd w:val="clear" w:color="auto" w:fill="FFFFFF"/>
                <w:lang w:val="uk-UA"/>
              </w:rPr>
            </w:pPr>
          </w:p>
          <w:p w14:paraId="2CBC3433" w14:textId="77777777" w:rsidR="00D3604A" w:rsidRPr="00BE468E" w:rsidRDefault="00D3604A">
            <w:pPr>
              <w:rPr>
                <w:rFonts w:ascii="Times New Roman" w:hAnsi="Times New Roman" w:cs="Times New Roman"/>
                <w:i/>
                <w:iCs/>
                <w:color w:val="333333"/>
                <w:sz w:val="22"/>
                <w:szCs w:val="22"/>
                <w:shd w:val="clear" w:color="auto" w:fill="FFFFFF"/>
                <w:lang w:val="uk-UA"/>
              </w:rPr>
            </w:pPr>
            <w:r w:rsidRPr="00BE468E">
              <w:rPr>
                <w:rFonts w:ascii="Times New Roman" w:hAnsi="Times New Roman" w:cs="Times New Roman"/>
                <w:i/>
                <w:iCs/>
                <w:color w:val="333333"/>
                <w:sz w:val="22"/>
                <w:szCs w:val="22"/>
                <w:shd w:val="clear" w:color="auto" w:fill="FFFFFF"/>
                <w:lang w:val="uk-UA"/>
              </w:rPr>
              <w:t>(до 28.08.2025)</w:t>
            </w:r>
          </w:p>
          <w:p w14:paraId="36B27878" w14:textId="619E7F1E" w:rsidR="00D3604A" w:rsidRPr="00BE468E" w:rsidRDefault="00D3604A">
            <w:pPr>
              <w:rPr>
                <w:rFonts w:ascii="Times New Roman" w:hAnsi="Times New Roman" w:cs="Times New Roman"/>
                <w:i/>
                <w:iCs/>
                <w:sz w:val="22"/>
                <w:szCs w:val="22"/>
                <w:lang w:val="uk-UA"/>
              </w:rPr>
            </w:pPr>
          </w:p>
        </w:tc>
        <w:tc>
          <w:tcPr>
            <w:tcW w:w="7124" w:type="dxa"/>
          </w:tcPr>
          <w:p w14:paraId="56FC66BC" w14:textId="22F684BC" w:rsidR="00D3604A" w:rsidRPr="00BE468E" w:rsidRDefault="00D3604A">
            <w:pPr>
              <w:rPr>
                <w:rFonts w:ascii="Times New Roman" w:hAnsi="Times New Roman" w:cs="Times New Roman"/>
                <w:b/>
                <w:bCs/>
                <w:color w:val="333333"/>
                <w:sz w:val="22"/>
                <w:szCs w:val="22"/>
                <w:shd w:val="clear" w:color="auto" w:fill="FFFFFF"/>
              </w:rPr>
            </w:pPr>
            <w:hyperlink r:id="rId4" w:anchor="top" w:history="1">
              <w:r w:rsidRPr="00BE468E">
                <w:rPr>
                  <w:rStyle w:val="a4"/>
                  <w:rFonts w:ascii="Times New Roman" w:hAnsi="Times New Roman" w:cs="Times New Roman"/>
                  <w:b/>
                  <w:bCs/>
                  <w:sz w:val="22"/>
                  <w:szCs w:val="22"/>
                  <w:shd w:val="clear" w:color="auto" w:fill="FFFFFF"/>
                </w:rPr>
                <w:t>4</w:t>
              </w:r>
              <w:r w:rsidRPr="00BE468E">
                <w:rPr>
                  <w:rStyle w:val="a4"/>
                  <w:rFonts w:ascii="Times New Roman" w:hAnsi="Times New Roman" w:cs="Times New Roman"/>
                  <w:b/>
                  <w:bCs/>
                  <w:sz w:val="22"/>
                  <w:szCs w:val="22"/>
                  <w:shd w:val="clear" w:color="auto" w:fill="FFFFFF"/>
                </w:rPr>
                <w:t>6</w:t>
              </w:r>
              <w:r w:rsidRPr="00BE468E">
                <w:rPr>
                  <w:rStyle w:val="a4"/>
                  <w:rFonts w:ascii="Times New Roman" w:hAnsi="Times New Roman" w:cs="Times New Roman"/>
                  <w:b/>
                  <w:bCs/>
                  <w:sz w:val="22"/>
                  <w:szCs w:val="22"/>
                  <w:shd w:val="clear" w:color="auto" w:fill="FFFFFF"/>
                </w:rPr>
                <w:t>)</w:t>
              </w:r>
            </w:hyperlink>
            <w:r w:rsidRPr="00BE468E">
              <w:rPr>
                <w:rFonts w:ascii="Times New Roman" w:hAnsi="Times New Roman" w:cs="Times New Roman"/>
                <w:color w:val="333333"/>
                <w:sz w:val="22"/>
                <w:szCs w:val="22"/>
                <w:shd w:val="clear" w:color="auto" w:fill="FFFFFF"/>
              </w:rPr>
              <w:t xml:space="preserve"> у </w:t>
            </w:r>
            <w:hyperlink r:id="rId5" w:anchor="n5" w:tgtFrame="_blank" w:history="1">
              <w:r w:rsidRPr="00BE468E">
                <w:rPr>
                  <w:rStyle w:val="a4"/>
                  <w:rFonts w:ascii="Times New Roman" w:hAnsi="Times New Roman" w:cs="Times New Roman"/>
                  <w:color w:val="000099"/>
                  <w:sz w:val="22"/>
                  <w:szCs w:val="22"/>
                  <w:shd w:val="clear" w:color="auto" w:fill="FFFFFF"/>
                </w:rPr>
                <w:t>пунк</w:t>
              </w:r>
              <w:r w:rsidRPr="00BE468E">
                <w:rPr>
                  <w:rStyle w:val="a4"/>
                  <w:rFonts w:ascii="Times New Roman" w:hAnsi="Times New Roman" w:cs="Times New Roman"/>
                  <w:color w:val="000099"/>
                  <w:sz w:val="22"/>
                  <w:szCs w:val="22"/>
                  <w:shd w:val="clear" w:color="auto" w:fill="FFFFFF"/>
                </w:rPr>
                <w:t>т</w:t>
              </w:r>
              <w:r w:rsidRPr="00BE468E">
                <w:rPr>
                  <w:rStyle w:val="a4"/>
                  <w:rFonts w:ascii="Times New Roman" w:hAnsi="Times New Roman" w:cs="Times New Roman"/>
                  <w:color w:val="000099"/>
                  <w:sz w:val="22"/>
                  <w:szCs w:val="22"/>
                  <w:shd w:val="clear" w:color="auto" w:fill="FFFFFF"/>
                </w:rPr>
                <w:t>і 1</w:t>
              </w:r>
            </w:hyperlink>
            <w:r w:rsidRPr="00BE468E">
              <w:rPr>
                <w:rFonts w:ascii="Times New Roman" w:hAnsi="Times New Roman" w:cs="Times New Roman"/>
                <w:color w:val="333333"/>
                <w:sz w:val="22"/>
                <w:szCs w:val="22"/>
                <w:shd w:val="clear" w:color="auto" w:fill="FFFFFF"/>
              </w:rPr>
              <w:t xml:space="preserve"> Закону України "Про захист інтересів суб’єктів подання звітності та інших документів у період дії воєнного стану або стану війни" від 3 березня 2022 року № 2115-IX із </w:t>
            </w:r>
            <w:r w:rsidRPr="00BE468E">
              <w:rPr>
                <w:rFonts w:ascii="Times New Roman" w:hAnsi="Times New Roman" w:cs="Times New Roman"/>
                <w:b/>
                <w:bCs/>
                <w:color w:val="333333"/>
                <w:sz w:val="22"/>
                <w:szCs w:val="22"/>
                <w:shd w:val="clear" w:color="auto" w:fill="FFFFFF"/>
              </w:rPr>
              <w:t>наступними змінами:</w:t>
            </w:r>
          </w:p>
          <w:p w14:paraId="1BCD4D97" w14:textId="77777777" w:rsidR="00D3604A" w:rsidRPr="00BE468E" w:rsidRDefault="00D3604A">
            <w:pPr>
              <w:rPr>
                <w:rFonts w:ascii="Times New Roman" w:hAnsi="Times New Roman" w:cs="Times New Roman"/>
                <w:b/>
                <w:bCs/>
                <w:color w:val="333333"/>
                <w:sz w:val="22"/>
                <w:szCs w:val="22"/>
                <w:shd w:val="clear" w:color="auto" w:fill="FFFFFF"/>
              </w:rPr>
            </w:pPr>
          </w:p>
          <w:p w14:paraId="77C460B1" w14:textId="6407971A" w:rsidR="00D3604A" w:rsidRPr="00BE468E" w:rsidRDefault="00D3604A">
            <w:pPr>
              <w:rPr>
                <w:rFonts w:ascii="Times New Roman" w:hAnsi="Times New Roman" w:cs="Times New Roman"/>
                <w:i/>
                <w:iCs/>
                <w:sz w:val="22"/>
                <w:szCs w:val="22"/>
              </w:rPr>
            </w:pPr>
            <w:r w:rsidRPr="00BE468E">
              <w:rPr>
                <w:rFonts w:ascii="Times New Roman" w:hAnsi="Times New Roman" w:cs="Times New Roman"/>
                <w:i/>
                <w:iCs/>
                <w:color w:val="333333"/>
                <w:sz w:val="22"/>
                <w:szCs w:val="22"/>
                <w:shd w:val="clear" w:color="auto" w:fill="FFFFFF"/>
                <w:lang w:val="uk-UA"/>
              </w:rPr>
              <w:t>(</w:t>
            </w:r>
            <w:r w:rsidRPr="00BE468E">
              <w:rPr>
                <w:rFonts w:ascii="Times New Roman" w:hAnsi="Times New Roman" w:cs="Times New Roman"/>
                <w:i/>
                <w:iCs/>
                <w:color w:val="333333"/>
                <w:sz w:val="22"/>
                <w:szCs w:val="22"/>
                <w:shd w:val="clear" w:color="auto" w:fill="FFFFFF"/>
                <w:lang w:val="uk-UA"/>
              </w:rPr>
              <w:t>з</w:t>
            </w:r>
            <w:r w:rsidRPr="00BE468E">
              <w:rPr>
                <w:rFonts w:ascii="Times New Roman" w:hAnsi="Times New Roman" w:cs="Times New Roman"/>
                <w:i/>
                <w:iCs/>
                <w:color w:val="333333"/>
                <w:sz w:val="22"/>
                <w:szCs w:val="22"/>
                <w:shd w:val="clear" w:color="auto" w:fill="FFFFFF"/>
                <w:lang w:val="uk-UA"/>
              </w:rPr>
              <w:t xml:space="preserve"> 28.08.2025)</w:t>
            </w:r>
          </w:p>
        </w:tc>
      </w:tr>
      <w:tr w:rsidR="00D3604A" w:rsidRPr="00BE468E" w14:paraId="564A4A97" w14:textId="77777777" w:rsidTr="00D3604A">
        <w:tc>
          <w:tcPr>
            <w:tcW w:w="6909" w:type="dxa"/>
          </w:tcPr>
          <w:p w14:paraId="1642544B" w14:textId="77777777" w:rsidR="00D3604A" w:rsidRPr="00BE468E" w:rsidRDefault="00D3604A" w:rsidP="00D3604A">
            <w:pPr>
              <w:pStyle w:val="rvps2"/>
              <w:shd w:val="clear" w:color="auto" w:fill="FFFFFF"/>
              <w:spacing w:before="0" w:beforeAutospacing="0" w:after="150" w:afterAutospacing="0"/>
              <w:ind w:firstLine="450"/>
              <w:jc w:val="both"/>
              <w:rPr>
                <w:color w:val="333333"/>
                <w:sz w:val="22"/>
                <w:szCs w:val="22"/>
              </w:rPr>
            </w:pPr>
            <w:r w:rsidRPr="00BE468E">
              <w:rPr>
                <w:color w:val="333333"/>
                <w:sz w:val="22"/>
                <w:szCs w:val="22"/>
              </w:rPr>
              <w:t>1) фізичні особи, фізичні особи - підприємці, юридичні особи, крім тих, які наділені бюджетними повноваженнями згідно із законодавством, подають облікові, фінансові, бухгалтерські, розрахункові, аудиторські звіти та будь-які інші документи, подання яких вимагається відповідно до норм чинного законодавства в документальній та/або в електронній формі, протягом трьох місяців після припинення чи скасування воєнного стану або стану війни за весь період неподання звітності чи обов’язку подати документи;</w:t>
            </w:r>
          </w:p>
          <w:p w14:paraId="09A86C55" w14:textId="77777777" w:rsidR="00D3604A" w:rsidRPr="00BE468E" w:rsidRDefault="00D3604A" w:rsidP="00D3604A">
            <w:pPr>
              <w:rPr>
                <w:rFonts w:ascii="Times New Roman" w:hAnsi="Times New Roman" w:cs="Times New Roman"/>
                <w:sz w:val="22"/>
                <w:szCs w:val="22"/>
              </w:rPr>
            </w:pPr>
          </w:p>
          <w:p w14:paraId="79E81A9C" w14:textId="77777777" w:rsidR="00D3604A" w:rsidRPr="00BE468E" w:rsidRDefault="00D3604A">
            <w:pPr>
              <w:rPr>
                <w:rFonts w:ascii="Times New Roman" w:hAnsi="Times New Roman" w:cs="Times New Roman"/>
                <w:sz w:val="22"/>
                <w:szCs w:val="22"/>
              </w:rPr>
            </w:pPr>
          </w:p>
        </w:tc>
        <w:tc>
          <w:tcPr>
            <w:tcW w:w="7124" w:type="dxa"/>
          </w:tcPr>
          <w:p w14:paraId="5851D44C" w14:textId="2A539316" w:rsidR="00D3604A" w:rsidRPr="00BE468E" w:rsidRDefault="00D3604A">
            <w:pPr>
              <w:rPr>
                <w:rFonts w:ascii="Times New Roman" w:hAnsi="Times New Roman" w:cs="Times New Roman"/>
                <w:sz w:val="22"/>
                <w:szCs w:val="22"/>
              </w:rPr>
            </w:pPr>
            <w:r w:rsidRPr="00BE468E">
              <w:rPr>
                <w:rFonts w:ascii="Times New Roman" w:hAnsi="Times New Roman" w:cs="Times New Roman"/>
                <w:sz w:val="22"/>
                <w:szCs w:val="22"/>
              </w:rPr>
              <w:t>"1) фізичні особи, фізичні особи - підприємці, юридичні особи (крім тих, які наділені бюджетними повноваженнями згідно із законодавством, а також державних унітарних підприємств, господарських товариств, у статутному капіталі яких більше 50 відсотків акцій (часток) належать державі або іншому господарському товариству, у статутному капіталі якого більше 50 відсотків акцій (часток) належать державі) подають облікові, фінансові, бухгалтерські, розрахункові, аудиторські звіти та будь-які інші документи, подання яких вимагається відповідно до законодавства, у паперовій та/або електронній формі протягом трьох місяців після припинення чи скасування воєнного стану або стану війни за весь період неподання звітності чи обов’язку подати документи;</w:t>
            </w:r>
          </w:p>
        </w:tc>
      </w:tr>
      <w:tr w:rsidR="00D3604A" w:rsidRPr="00BE468E" w14:paraId="70E993A8" w14:textId="77777777" w:rsidTr="00D3604A">
        <w:tc>
          <w:tcPr>
            <w:tcW w:w="6909" w:type="dxa"/>
          </w:tcPr>
          <w:p w14:paraId="7B1C5AAB" w14:textId="4A7420C2" w:rsidR="00D3604A" w:rsidRPr="00BE468E" w:rsidRDefault="00D3604A">
            <w:pPr>
              <w:rPr>
                <w:rFonts w:ascii="Times New Roman" w:hAnsi="Times New Roman" w:cs="Times New Roman"/>
                <w:sz w:val="22"/>
                <w:szCs w:val="22"/>
              </w:rPr>
            </w:pPr>
            <w:r w:rsidRPr="00BE468E">
              <w:rPr>
                <w:rFonts w:ascii="Times New Roman" w:hAnsi="Times New Roman" w:cs="Times New Roman"/>
                <w:color w:val="333333"/>
                <w:sz w:val="22"/>
                <w:szCs w:val="22"/>
                <w:shd w:val="clear" w:color="auto" w:fill="FFFFFF"/>
              </w:rPr>
              <w:t>2) у період дії воєнного стану або стану війни, а також протягом трьох місяців після його завершення до фізичних осіб, фізичних осіб - підприємців, юридичних осіб не застосовується адміністративна та/або кримінальна відповідальність за неподання чи несвоєчасне подання звітності та/або документів, визначених </w:t>
            </w:r>
            <w:hyperlink r:id="rId6" w:anchor="n6" w:history="1">
              <w:r w:rsidRPr="00BE468E">
                <w:rPr>
                  <w:rStyle w:val="a4"/>
                  <w:rFonts w:ascii="Times New Roman" w:hAnsi="Times New Roman" w:cs="Times New Roman"/>
                  <w:color w:val="006600"/>
                  <w:sz w:val="22"/>
                  <w:szCs w:val="22"/>
                  <w:shd w:val="clear" w:color="auto" w:fill="FFFFFF"/>
                </w:rPr>
                <w:t>підпунктом 1</w:t>
              </w:r>
            </w:hyperlink>
            <w:r w:rsidRPr="00BE468E">
              <w:rPr>
                <w:rFonts w:ascii="Times New Roman" w:hAnsi="Times New Roman" w:cs="Times New Roman"/>
                <w:color w:val="333333"/>
                <w:sz w:val="22"/>
                <w:szCs w:val="22"/>
                <w:shd w:val="clear" w:color="auto" w:fill="FFFFFF"/>
              </w:rPr>
              <w:t> цього пункту;</w:t>
            </w:r>
          </w:p>
        </w:tc>
        <w:tc>
          <w:tcPr>
            <w:tcW w:w="7124" w:type="dxa"/>
          </w:tcPr>
          <w:p w14:paraId="09CF4DD5" w14:textId="742FC8BB" w:rsidR="00D3604A" w:rsidRPr="00BE468E" w:rsidRDefault="00D3604A">
            <w:pPr>
              <w:rPr>
                <w:rFonts w:ascii="Times New Roman" w:hAnsi="Times New Roman" w:cs="Times New Roman"/>
                <w:sz w:val="22"/>
                <w:szCs w:val="22"/>
              </w:rPr>
            </w:pPr>
            <w:r w:rsidRPr="00BE468E">
              <w:rPr>
                <w:rFonts w:ascii="Times New Roman" w:hAnsi="Times New Roman" w:cs="Times New Roman"/>
                <w:color w:val="333333"/>
                <w:sz w:val="22"/>
                <w:szCs w:val="22"/>
                <w:shd w:val="clear" w:color="auto" w:fill="FFFFFF"/>
              </w:rPr>
              <w:t>2) у період дії воєнного стану або стану війни, а також протягом трьох місяців з дня його припинення чи скасування до фізичних осіб, фізичних осіб - підприємців, юридичних осіб (крім державних унітарних підприємств, господарських товариств, у статутному капіталі яких більше 50 відсотків акцій (часток) належать державі або іншому господарському товариству, у статутному капіталі якого більше 50 відсотків акцій (часток) належать державі) не застосовується адміністративна та/або кримінальна відповідальність за неподання чи несвоєчасне подання звітності та/або документів, визначених підпунктом 1 цього пункту";</w:t>
            </w:r>
          </w:p>
        </w:tc>
      </w:tr>
      <w:tr w:rsidR="00D3604A" w:rsidRPr="00BE468E" w14:paraId="3E2FBF86" w14:textId="77777777" w:rsidTr="00D3604A">
        <w:tc>
          <w:tcPr>
            <w:tcW w:w="6909" w:type="dxa"/>
          </w:tcPr>
          <w:p w14:paraId="4BD28579" w14:textId="0BD710E1" w:rsidR="00D3604A" w:rsidRPr="00BE468E" w:rsidRDefault="00D3604A">
            <w:pPr>
              <w:rPr>
                <w:rFonts w:ascii="Times New Roman" w:hAnsi="Times New Roman" w:cs="Times New Roman"/>
                <w:sz w:val="22"/>
                <w:szCs w:val="22"/>
              </w:rPr>
            </w:pPr>
            <w:r w:rsidRPr="00BE468E">
              <w:rPr>
                <w:rFonts w:ascii="Times New Roman" w:hAnsi="Times New Roman" w:cs="Times New Roman"/>
                <w:color w:val="333333"/>
                <w:sz w:val="22"/>
                <w:szCs w:val="22"/>
                <w:shd w:val="clear" w:color="auto" w:fill="FFFFFF"/>
              </w:rPr>
              <w:t>4) у період дії воєнного стану або стану війни будь-які перевірки щодо своєчасності та повноти подання будь-яких звітів чи документів звітового характеру уповноваженими органами не здійснюються;</w:t>
            </w:r>
          </w:p>
        </w:tc>
        <w:tc>
          <w:tcPr>
            <w:tcW w:w="7124" w:type="dxa"/>
          </w:tcPr>
          <w:p w14:paraId="66574CF2" w14:textId="4DD60C8A" w:rsidR="00D3604A" w:rsidRPr="00BE468E" w:rsidRDefault="00D3604A">
            <w:pPr>
              <w:rPr>
                <w:rFonts w:ascii="Times New Roman" w:hAnsi="Times New Roman" w:cs="Times New Roman"/>
                <w:sz w:val="22"/>
                <w:szCs w:val="22"/>
              </w:rPr>
            </w:pPr>
            <w:r w:rsidRPr="00BE468E">
              <w:rPr>
                <w:rFonts w:ascii="Times New Roman" w:hAnsi="Times New Roman" w:cs="Times New Roman"/>
                <w:color w:val="333333"/>
                <w:sz w:val="22"/>
                <w:szCs w:val="22"/>
                <w:shd w:val="clear" w:color="auto" w:fill="FFFFFF"/>
              </w:rPr>
              <w:t xml:space="preserve">"4) у період дії воєнного стану або стану війни будь-які перевірки щодо своєчасності та повноти подання будь-яких звітів чи документів звітового характеру уповноваженими органами не проводяться, крім </w:t>
            </w:r>
            <w:r w:rsidRPr="00BE468E">
              <w:rPr>
                <w:rFonts w:ascii="Times New Roman" w:hAnsi="Times New Roman" w:cs="Times New Roman"/>
                <w:color w:val="333333"/>
                <w:sz w:val="22"/>
                <w:szCs w:val="22"/>
                <w:shd w:val="clear" w:color="auto" w:fill="FFFFFF"/>
              </w:rPr>
              <w:lastRenderedPageBreak/>
              <w:t>перевірки звітів та документів звітового характеру державних унітарних підприємств, господарських товариств, у статутному капіталі яких більше 50 відсотків акцій (часток) належать державі або іншому господарському товариству, у статутному капіталі якого більше 50 відсотків акцій (часток) належать державі;</w:t>
            </w:r>
          </w:p>
        </w:tc>
      </w:tr>
      <w:tr w:rsidR="00D3604A" w:rsidRPr="00BE468E" w14:paraId="7A41C3FB" w14:textId="77777777" w:rsidTr="00D3604A">
        <w:tc>
          <w:tcPr>
            <w:tcW w:w="6909" w:type="dxa"/>
          </w:tcPr>
          <w:p w14:paraId="48D348D4" w14:textId="645958F1" w:rsidR="00D3604A" w:rsidRPr="00BE468E" w:rsidRDefault="00D3604A">
            <w:pPr>
              <w:rPr>
                <w:rFonts w:ascii="Times New Roman" w:hAnsi="Times New Roman" w:cs="Times New Roman"/>
                <w:sz w:val="22"/>
                <w:szCs w:val="22"/>
              </w:rPr>
            </w:pPr>
            <w:r w:rsidRPr="00BE468E">
              <w:rPr>
                <w:rFonts w:ascii="Times New Roman" w:hAnsi="Times New Roman" w:cs="Times New Roman"/>
                <w:color w:val="333333"/>
                <w:sz w:val="22"/>
                <w:szCs w:val="22"/>
                <w:shd w:val="clear" w:color="auto" w:fill="FFFFFF"/>
              </w:rPr>
              <w:lastRenderedPageBreak/>
              <w:t>4</w:t>
            </w:r>
            <w:r w:rsidRPr="00BE468E">
              <w:rPr>
                <w:rStyle w:val="rvts37"/>
                <w:rFonts w:ascii="Times New Roman" w:hAnsi="Times New Roman" w:cs="Times New Roman"/>
                <w:b/>
                <w:bCs/>
                <w:color w:val="333333"/>
                <w:sz w:val="22"/>
                <w:szCs w:val="22"/>
                <w:shd w:val="clear" w:color="auto" w:fill="FFFFFF"/>
                <w:vertAlign w:val="superscript"/>
              </w:rPr>
              <w:t>-1</w:t>
            </w:r>
            <w:r w:rsidRPr="00BE468E">
              <w:rPr>
                <w:rFonts w:ascii="Times New Roman" w:hAnsi="Times New Roman" w:cs="Times New Roman"/>
                <w:color w:val="333333"/>
                <w:sz w:val="22"/>
                <w:szCs w:val="22"/>
                <w:shd w:val="clear" w:color="auto" w:fill="FFFFFF"/>
              </w:rPr>
              <w:t>) у період дії воєнного стану або стану війни, а також протягом трьох місяців після його припинення чи скасування особи, відповідальні за своєчасне і у повному обсязі подання та оприлюднення фінансової звітності, звільняються від відповідальності за порушення строків оприлюднення річної фінансової звітності та річної консолідованої фінансової звітності разом з відповідними аудиторськими звітами, звітом про управління, консолідованим звітом про управління, звітом про платежі на користь держави та консолідованим звітом про платежі на користь держави, складення та оприлюднення яких передбачено законодавством;</w:t>
            </w:r>
          </w:p>
        </w:tc>
        <w:tc>
          <w:tcPr>
            <w:tcW w:w="7124" w:type="dxa"/>
          </w:tcPr>
          <w:p w14:paraId="6C9DBBFD" w14:textId="02FB702F" w:rsidR="00D3604A" w:rsidRPr="00BE468E" w:rsidRDefault="00D3604A">
            <w:pPr>
              <w:rPr>
                <w:rFonts w:ascii="Times New Roman" w:hAnsi="Times New Roman" w:cs="Times New Roman"/>
                <w:sz w:val="22"/>
                <w:szCs w:val="22"/>
              </w:rPr>
            </w:pPr>
            <w:r w:rsidRPr="00BE468E">
              <w:rPr>
                <w:rFonts w:ascii="Times New Roman" w:hAnsi="Times New Roman" w:cs="Times New Roman"/>
                <w:color w:val="333333"/>
                <w:sz w:val="22"/>
                <w:szCs w:val="22"/>
                <w:shd w:val="clear" w:color="auto" w:fill="FFFFFF"/>
              </w:rPr>
              <w:t>4</w:t>
            </w:r>
            <w:r w:rsidRPr="00BE468E">
              <w:rPr>
                <w:rStyle w:val="rvts37"/>
                <w:rFonts w:ascii="Times New Roman" w:hAnsi="Times New Roman" w:cs="Times New Roman"/>
                <w:b/>
                <w:bCs/>
                <w:color w:val="333333"/>
                <w:sz w:val="22"/>
                <w:szCs w:val="22"/>
                <w:shd w:val="clear" w:color="auto" w:fill="FFFFFF"/>
                <w:vertAlign w:val="superscript"/>
              </w:rPr>
              <w:t>-1</w:t>
            </w:r>
            <w:r w:rsidRPr="00BE468E">
              <w:rPr>
                <w:rFonts w:ascii="Times New Roman" w:hAnsi="Times New Roman" w:cs="Times New Roman"/>
                <w:color w:val="333333"/>
                <w:sz w:val="22"/>
                <w:szCs w:val="22"/>
                <w:shd w:val="clear" w:color="auto" w:fill="FFFFFF"/>
              </w:rPr>
              <w:t>) у період дії воєнного стану або стану війни, а також протягом трьох місяців з дня його припинення чи скасування особи, відповідальні за своєчасне і в повному обсязі подання та оприлюднення фінансової звітності (крім державних унітарних підприємств, господарських товариств, у статутному капіталі яких більше 50 відсотків акцій (часток) належать державі або іншому господарському товариству, у статутному капіталі якого більше 50 відсотків акцій (часток) належать державі), звільняються від відповідальності за порушення строків оприлюднення річної фінансової звітності та річної консолідованої фінансової звітності разом з відповідними аудиторськими звітами, звітом про управління, консолідованим звітом про управління, звітом про платежі на користь держави та консолідованим звітом про платежі на користь держави, складення та оприлюднення яких передбачено законодавством";</w:t>
            </w:r>
          </w:p>
        </w:tc>
      </w:tr>
      <w:tr w:rsidR="00D3604A" w:rsidRPr="00BE468E" w14:paraId="09D83741" w14:textId="77777777" w:rsidTr="00D3604A">
        <w:tc>
          <w:tcPr>
            <w:tcW w:w="6909" w:type="dxa"/>
          </w:tcPr>
          <w:p w14:paraId="2BB7C8C3" w14:textId="77777777" w:rsidR="00D3604A" w:rsidRPr="00BE468E" w:rsidRDefault="00D3604A" w:rsidP="00D3604A">
            <w:pPr>
              <w:pStyle w:val="rvps2"/>
              <w:shd w:val="clear" w:color="auto" w:fill="FFFFFF"/>
              <w:spacing w:before="0" w:beforeAutospacing="0" w:after="150" w:afterAutospacing="0"/>
              <w:ind w:firstLine="450"/>
              <w:jc w:val="both"/>
              <w:rPr>
                <w:color w:val="333333"/>
                <w:sz w:val="22"/>
                <w:szCs w:val="22"/>
              </w:rPr>
            </w:pPr>
            <w:r w:rsidRPr="00BE468E">
              <w:rPr>
                <w:color w:val="333333"/>
                <w:sz w:val="22"/>
                <w:szCs w:val="22"/>
              </w:rPr>
              <w:t>7) дія </w:t>
            </w:r>
            <w:hyperlink r:id="rId7" w:anchor="n6" w:history="1">
              <w:r w:rsidRPr="00BE468E">
                <w:rPr>
                  <w:rStyle w:val="a4"/>
                  <w:color w:val="006600"/>
                  <w:sz w:val="22"/>
                  <w:szCs w:val="22"/>
                </w:rPr>
                <w:t>підпунктів 1</w:t>
              </w:r>
            </w:hyperlink>
            <w:r w:rsidRPr="00BE468E">
              <w:rPr>
                <w:color w:val="333333"/>
                <w:sz w:val="22"/>
                <w:szCs w:val="22"/>
              </w:rPr>
              <w:t> і </w:t>
            </w:r>
            <w:hyperlink r:id="rId8" w:anchor="n9" w:history="1">
              <w:r w:rsidRPr="00BE468E">
                <w:rPr>
                  <w:rStyle w:val="a4"/>
                  <w:color w:val="006600"/>
                  <w:sz w:val="22"/>
                  <w:szCs w:val="22"/>
                </w:rPr>
                <w:t>4</w:t>
              </w:r>
            </w:hyperlink>
            <w:r w:rsidRPr="00BE468E">
              <w:rPr>
                <w:color w:val="333333"/>
                <w:sz w:val="22"/>
                <w:szCs w:val="22"/>
              </w:rPr>
              <w:t> цього пункту не поширюється на подання до Національної комісії з цінних паперів та фондового ринку учасниками ринків капіталу та професійними учасниками організованих товарних ринків, державне регулювання та нагляд за діяльністю яких здійснює Національна комісія з цінних паперів та фондового ринку, звітних даних та іншої звітності (іншої, ніж фінансова звітність та аудиторські звіти за результатами обов’язкового аудиту річної фінансової звітності (консолідованої фінансової звітності, якщо відповідно до законодавства України необхідно складати консолідовану фінансову звітність), на розкриття таких даних, а також на перевірку своєчасності та повноти їх подання.</w:t>
            </w:r>
          </w:p>
          <w:p w14:paraId="449DABFE" w14:textId="77777777" w:rsidR="00D3604A" w:rsidRPr="00BE468E" w:rsidRDefault="00D3604A" w:rsidP="00D3604A">
            <w:pPr>
              <w:pStyle w:val="rvps2"/>
              <w:shd w:val="clear" w:color="auto" w:fill="FFFFFF"/>
              <w:spacing w:before="0" w:beforeAutospacing="0" w:after="150" w:afterAutospacing="0"/>
              <w:ind w:firstLine="450"/>
              <w:jc w:val="both"/>
              <w:rPr>
                <w:color w:val="333333"/>
                <w:sz w:val="22"/>
                <w:szCs w:val="22"/>
              </w:rPr>
            </w:pPr>
            <w:bookmarkStart w:id="0" w:name="n26"/>
            <w:bookmarkEnd w:id="0"/>
            <w:r w:rsidRPr="00BE468E">
              <w:rPr>
                <w:color w:val="333333"/>
                <w:sz w:val="22"/>
                <w:szCs w:val="22"/>
              </w:rPr>
              <w:t>Учасники ринків капіталу та професійні учасники організованих товарних ринків, державне регулювання та нагляд за діяльністю яких здійснює Національна комісія з цінних паперів та фондового ринку:</w:t>
            </w:r>
          </w:p>
          <w:p w14:paraId="6FDC103A" w14:textId="77777777" w:rsidR="00D3604A" w:rsidRPr="00BE468E" w:rsidRDefault="00D3604A" w:rsidP="00D3604A">
            <w:pPr>
              <w:pStyle w:val="rvps2"/>
              <w:shd w:val="clear" w:color="auto" w:fill="FFFFFF"/>
              <w:spacing w:before="0" w:beforeAutospacing="0" w:after="150" w:afterAutospacing="0"/>
              <w:ind w:firstLine="450"/>
              <w:jc w:val="both"/>
              <w:rPr>
                <w:color w:val="333333"/>
                <w:sz w:val="22"/>
                <w:szCs w:val="22"/>
              </w:rPr>
            </w:pPr>
            <w:bookmarkStart w:id="1" w:name="n27"/>
            <w:bookmarkEnd w:id="1"/>
            <w:r w:rsidRPr="00BE468E">
              <w:rPr>
                <w:color w:val="333333"/>
                <w:sz w:val="22"/>
                <w:szCs w:val="22"/>
              </w:rPr>
              <w:t xml:space="preserve">подають до Національної комісії з цінних паперів та фондового ринку звітні дані та іншу звітність (іншу, ніж фінансова звітність та </w:t>
            </w:r>
            <w:r w:rsidRPr="00BE468E">
              <w:rPr>
                <w:color w:val="333333"/>
                <w:sz w:val="22"/>
                <w:szCs w:val="22"/>
              </w:rPr>
              <w:lastRenderedPageBreak/>
              <w:t>аудиторські звіти за результатами обов’язкового аудиту річної фінансової звітності (консолідованої фінансової звітності, якщо відповідно до законодавства України необхідно складати консолідовану фінансову звітність), а також у інший спосіб розкривають їх відповідно до вимог, встановлених Національною комісією з цінних паперів та фондового ринку;</w:t>
            </w:r>
          </w:p>
          <w:p w14:paraId="200A697D" w14:textId="77777777" w:rsidR="00BE468E" w:rsidRPr="00BE468E" w:rsidRDefault="00BE468E" w:rsidP="00D3604A">
            <w:pPr>
              <w:pStyle w:val="rvps2"/>
              <w:shd w:val="clear" w:color="auto" w:fill="FFFFFF"/>
              <w:spacing w:before="0" w:beforeAutospacing="0" w:after="150" w:afterAutospacing="0"/>
              <w:ind w:firstLine="450"/>
              <w:jc w:val="both"/>
              <w:rPr>
                <w:color w:val="333333"/>
                <w:sz w:val="22"/>
                <w:szCs w:val="22"/>
              </w:rPr>
            </w:pPr>
          </w:p>
          <w:p w14:paraId="686782EB" w14:textId="77777777" w:rsidR="00D3604A" w:rsidRPr="00BE468E" w:rsidRDefault="00D3604A" w:rsidP="00D3604A">
            <w:pPr>
              <w:pStyle w:val="rvps2"/>
              <w:shd w:val="clear" w:color="auto" w:fill="FFFFFF"/>
              <w:spacing w:before="0" w:beforeAutospacing="0" w:after="150" w:afterAutospacing="0"/>
              <w:ind w:firstLine="450"/>
              <w:jc w:val="both"/>
              <w:rPr>
                <w:color w:val="333333"/>
                <w:sz w:val="22"/>
                <w:szCs w:val="22"/>
              </w:rPr>
            </w:pPr>
            <w:bookmarkStart w:id="2" w:name="n28"/>
            <w:bookmarkEnd w:id="2"/>
            <w:r w:rsidRPr="00BE468E">
              <w:rPr>
                <w:color w:val="333333"/>
                <w:sz w:val="22"/>
                <w:szCs w:val="22"/>
              </w:rPr>
              <w:t>зобов’язані подавати Національній комісії з цінних паперів та фондового ринку (у тому числі на її запит або вимогу) іншу інформацію та документи відповідно до встановлених законодавством України вимог.</w:t>
            </w:r>
          </w:p>
          <w:p w14:paraId="111F40CA" w14:textId="77777777" w:rsidR="00BE468E" w:rsidRPr="00BE468E" w:rsidRDefault="00BE468E" w:rsidP="00D3604A">
            <w:pPr>
              <w:pStyle w:val="rvps2"/>
              <w:shd w:val="clear" w:color="auto" w:fill="FFFFFF"/>
              <w:spacing w:before="0" w:beforeAutospacing="0" w:after="150" w:afterAutospacing="0"/>
              <w:ind w:firstLine="450"/>
              <w:jc w:val="both"/>
              <w:rPr>
                <w:color w:val="333333"/>
                <w:sz w:val="22"/>
                <w:szCs w:val="22"/>
              </w:rPr>
            </w:pPr>
          </w:p>
          <w:p w14:paraId="66166954" w14:textId="77777777" w:rsidR="00D3604A" w:rsidRPr="00BE468E" w:rsidRDefault="00D3604A" w:rsidP="00D3604A">
            <w:pPr>
              <w:pStyle w:val="rvps2"/>
              <w:shd w:val="clear" w:color="auto" w:fill="FFFFFF"/>
              <w:spacing w:before="0" w:beforeAutospacing="0" w:after="150" w:afterAutospacing="0"/>
              <w:ind w:firstLine="450"/>
              <w:jc w:val="both"/>
              <w:rPr>
                <w:color w:val="333333"/>
                <w:sz w:val="22"/>
                <w:szCs w:val="22"/>
              </w:rPr>
            </w:pPr>
            <w:bookmarkStart w:id="3" w:name="n29"/>
            <w:bookmarkEnd w:id="3"/>
            <w:r w:rsidRPr="00BE468E">
              <w:rPr>
                <w:color w:val="333333"/>
                <w:sz w:val="22"/>
                <w:szCs w:val="22"/>
              </w:rPr>
              <w:t>Учасникам ринків капіталу та професійним учасникам організованих товарних ринків, державне регулювання та нагляд за діяльністю яких здійснює Національна комісія з цінних паперів та фондового ринку, які протягом 30 календарних днів після закінчення граничного строку, встановленого законодавством, не подали звітність, визначену </w:t>
            </w:r>
            <w:hyperlink r:id="rId9" w:anchor="n27" w:history="1">
              <w:r w:rsidRPr="00BE468E">
                <w:rPr>
                  <w:rStyle w:val="a4"/>
                  <w:color w:val="006600"/>
                  <w:sz w:val="22"/>
                  <w:szCs w:val="22"/>
                </w:rPr>
                <w:t>абзацом третім</w:t>
              </w:r>
            </w:hyperlink>
            <w:r w:rsidRPr="00BE468E">
              <w:rPr>
                <w:color w:val="333333"/>
                <w:sz w:val="22"/>
                <w:szCs w:val="22"/>
              </w:rPr>
              <w:t> цього підпункту, забороняється укладати будь-які нові договори у процесі провадження професійної діяльності на ринках капіталу та організованих товарних ринках та вносити зміни до чинних договорів щодо збільшення їхніх зобов’язань за такими договорами. Право зазначених у цьому абзаці осіб укладати будь-які нові договори у процесі провадження професійної діяльності на ринках капіталу та організованих товарних ринках та вносити зміни до чинних договорів щодо збільшення їхніх зобов’язань за такими договорами відновлюється з дня, наступного за днем подання до Національної комісії з цінних паперів та фондового ринку звітності відповідно до вимог, встановлених Національною комісією з цінних паперів та фондового ринку.</w:t>
            </w:r>
          </w:p>
          <w:p w14:paraId="04D3B44E" w14:textId="77777777" w:rsidR="00D3604A" w:rsidRPr="00BE468E" w:rsidRDefault="00D3604A" w:rsidP="00D3604A">
            <w:pPr>
              <w:pStyle w:val="rvps2"/>
              <w:shd w:val="clear" w:color="auto" w:fill="FFFFFF"/>
              <w:spacing w:before="0" w:beforeAutospacing="0" w:after="150" w:afterAutospacing="0"/>
              <w:ind w:firstLine="450"/>
              <w:jc w:val="both"/>
              <w:rPr>
                <w:color w:val="333333"/>
                <w:sz w:val="22"/>
                <w:szCs w:val="22"/>
              </w:rPr>
            </w:pPr>
            <w:bookmarkStart w:id="4" w:name="n30"/>
            <w:bookmarkEnd w:id="4"/>
            <w:r w:rsidRPr="00BE468E">
              <w:rPr>
                <w:color w:val="333333"/>
                <w:sz w:val="22"/>
                <w:szCs w:val="22"/>
              </w:rPr>
              <w:t xml:space="preserve">До учасників ринків капіталу та професійних учасників організованих товарних ринків, державне регулювання та нагляд за діяльністю яких здійснює Національна комісія з цінних паперів та </w:t>
            </w:r>
            <w:r w:rsidRPr="00BE468E">
              <w:rPr>
                <w:color w:val="333333"/>
                <w:sz w:val="22"/>
                <w:szCs w:val="22"/>
              </w:rPr>
              <w:lastRenderedPageBreak/>
              <w:t>фондового ринку, місцезнаходженням яких є території активних бойових дій або тимчасово окуповані Російською Федерацією території України, які включені до </w:t>
            </w:r>
            <w:hyperlink r:id="rId10" w:anchor="n15" w:tgtFrame="_blank" w:history="1">
              <w:r w:rsidRPr="00BE468E">
                <w:rPr>
                  <w:rStyle w:val="a4"/>
                  <w:color w:val="000099"/>
                  <w:sz w:val="22"/>
                  <w:szCs w:val="22"/>
                </w:rPr>
                <w:t>Переліку територій, на яких ведуться (велися) бойові дії або тимчасово окупованих Російською Федерацією</w:t>
              </w:r>
            </w:hyperlink>
            <w:r w:rsidRPr="00BE468E">
              <w:rPr>
                <w:color w:val="333333"/>
                <w:sz w:val="22"/>
                <w:szCs w:val="22"/>
              </w:rPr>
              <w:t>, що визначається у встановленому Кабінетом Міністрів України порядку, у період бойових дій або тимчасової окупації та протягом трьох місяців після дати завершення бойових дій або тимчасової окупації не застосовуються передбачені законом заходи впливу за неподання чи несвоєчасне подання звітності, іншої інформації та/або документів, визначених </w:t>
            </w:r>
            <w:hyperlink r:id="rId11" w:anchor="n27" w:history="1">
              <w:r w:rsidRPr="00BE468E">
                <w:rPr>
                  <w:rStyle w:val="a4"/>
                  <w:color w:val="006600"/>
                  <w:sz w:val="22"/>
                  <w:szCs w:val="22"/>
                </w:rPr>
                <w:t>абзацами третім</w:t>
              </w:r>
            </w:hyperlink>
            <w:r w:rsidRPr="00BE468E">
              <w:rPr>
                <w:color w:val="333333"/>
                <w:sz w:val="22"/>
                <w:szCs w:val="22"/>
              </w:rPr>
              <w:t> і </w:t>
            </w:r>
            <w:hyperlink r:id="rId12" w:anchor="n28" w:history="1">
              <w:r w:rsidRPr="00BE468E">
                <w:rPr>
                  <w:rStyle w:val="a4"/>
                  <w:color w:val="006600"/>
                  <w:sz w:val="22"/>
                  <w:szCs w:val="22"/>
                </w:rPr>
                <w:t>четвертим</w:t>
              </w:r>
            </w:hyperlink>
            <w:r w:rsidRPr="00BE468E">
              <w:rPr>
                <w:color w:val="333333"/>
                <w:sz w:val="22"/>
                <w:szCs w:val="22"/>
              </w:rPr>
              <w:t> цього підпункту;</w:t>
            </w:r>
          </w:p>
          <w:p w14:paraId="5360F17F" w14:textId="77777777" w:rsidR="00D3604A" w:rsidRPr="00BE468E" w:rsidRDefault="00D3604A">
            <w:pPr>
              <w:rPr>
                <w:rFonts w:ascii="Times New Roman" w:hAnsi="Times New Roman" w:cs="Times New Roman"/>
                <w:sz w:val="22"/>
                <w:szCs w:val="22"/>
              </w:rPr>
            </w:pPr>
          </w:p>
        </w:tc>
        <w:tc>
          <w:tcPr>
            <w:tcW w:w="7124" w:type="dxa"/>
          </w:tcPr>
          <w:p w14:paraId="77B895B7" w14:textId="77777777" w:rsidR="00D3604A" w:rsidRPr="00BE468E" w:rsidRDefault="00D3604A" w:rsidP="00D3604A">
            <w:pPr>
              <w:pStyle w:val="rvps2"/>
              <w:shd w:val="clear" w:color="auto" w:fill="FFFFFF"/>
              <w:spacing w:before="0" w:beforeAutospacing="0" w:after="150" w:afterAutospacing="0"/>
              <w:ind w:firstLine="450"/>
              <w:jc w:val="both"/>
              <w:rPr>
                <w:color w:val="333333"/>
                <w:sz w:val="22"/>
                <w:szCs w:val="22"/>
              </w:rPr>
            </w:pPr>
            <w:r w:rsidRPr="00BE468E">
              <w:rPr>
                <w:color w:val="333333"/>
                <w:sz w:val="22"/>
                <w:szCs w:val="22"/>
              </w:rPr>
              <w:lastRenderedPageBreak/>
              <w:t xml:space="preserve">"7) </w:t>
            </w:r>
            <w:r w:rsidRPr="00BE468E">
              <w:rPr>
                <w:b/>
                <w:bCs/>
                <w:color w:val="333333"/>
                <w:sz w:val="22"/>
                <w:szCs w:val="22"/>
              </w:rPr>
              <w:t>дія підпунктів 1 і 4 цього пункту не поширюється на подання до Національної комісії з цінних паперів та фондового ринку учасниками ринків капіталу та професійними учасниками організованих товарних ринків, державне регулювання та нагляд за діяльністю яких здійснює Національна комісія з цінних паперів та фондового ринку, звітних даних та іншої звітності, на розкриття таких даних, а також на перевірку своєчасності та повноти їх подання";</w:t>
            </w:r>
          </w:p>
          <w:p w14:paraId="6A8A88C2" w14:textId="77777777" w:rsidR="00BE468E" w:rsidRPr="00BE468E" w:rsidRDefault="00BE468E" w:rsidP="00D3604A">
            <w:pPr>
              <w:pStyle w:val="rvps2"/>
              <w:shd w:val="clear" w:color="auto" w:fill="FFFFFF"/>
              <w:spacing w:before="0" w:beforeAutospacing="0" w:after="150" w:afterAutospacing="0"/>
              <w:ind w:firstLine="450"/>
              <w:jc w:val="both"/>
              <w:rPr>
                <w:color w:val="333333"/>
                <w:sz w:val="22"/>
                <w:szCs w:val="22"/>
              </w:rPr>
            </w:pPr>
          </w:p>
          <w:p w14:paraId="1806F369" w14:textId="77777777" w:rsidR="00BE468E" w:rsidRPr="00BE468E" w:rsidRDefault="00BE468E" w:rsidP="00D3604A">
            <w:pPr>
              <w:pStyle w:val="rvps2"/>
              <w:shd w:val="clear" w:color="auto" w:fill="FFFFFF"/>
              <w:spacing w:before="0" w:beforeAutospacing="0" w:after="150" w:afterAutospacing="0"/>
              <w:ind w:firstLine="450"/>
              <w:jc w:val="both"/>
              <w:rPr>
                <w:color w:val="333333"/>
                <w:sz w:val="22"/>
                <w:szCs w:val="22"/>
              </w:rPr>
            </w:pPr>
          </w:p>
          <w:p w14:paraId="26A5398F" w14:textId="3C7362CC" w:rsidR="00BE468E" w:rsidRPr="00BE468E" w:rsidRDefault="00BE468E" w:rsidP="00BE468E">
            <w:pPr>
              <w:pStyle w:val="rvps2"/>
              <w:shd w:val="clear" w:color="auto" w:fill="FFFFFF"/>
              <w:spacing w:before="0" w:beforeAutospacing="0" w:after="150" w:afterAutospacing="0"/>
              <w:ind w:firstLine="450"/>
              <w:jc w:val="both"/>
              <w:rPr>
                <w:color w:val="333333"/>
                <w:sz w:val="22"/>
                <w:szCs w:val="22"/>
              </w:rPr>
            </w:pPr>
            <w:r w:rsidRPr="00BE468E">
              <w:rPr>
                <w:color w:val="333333"/>
                <w:sz w:val="22"/>
                <w:szCs w:val="22"/>
              </w:rPr>
              <w:t>Учасники ринків капіталу та професійні учасники організованих товарних ринків, державне регулювання та нагляд за діяльністю яких здійснює Національна комісія з цінних паперів та фондового ринку:</w:t>
            </w:r>
          </w:p>
          <w:p w14:paraId="7F54953F" w14:textId="31A20BA5" w:rsidR="00D3604A" w:rsidRPr="00BE468E" w:rsidRDefault="00D3604A" w:rsidP="00D3604A">
            <w:pPr>
              <w:pStyle w:val="rvps2"/>
              <w:shd w:val="clear" w:color="auto" w:fill="FFFFFF"/>
              <w:spacing w:before="0" w:beforeAutospacing="0" w:after="150" w:afterAutospacing="0"/>
              <w:ind w:firstLine="450"/>
              <w:jc w:val="both"/>
              <w:rPr>
                <w:color w:val="333333"/>
                <w:sz w:val="22"/>
                <w:szCs w:val="22"/>
                <w:lang w:val="uk-UA"/>
              </w:rPr>
            </w:pPr>
            <w:bookmarkStart w:id="5" w:name="n994"/>
            <w:bookmarkEnd w:id="5"/>
            <w:r w:rsidRPr="00BE468E">
              <w:rPr>
                <w:b/>
                <w:bCs/>
                <w:color w:val="333333"/>
                <w:sz w:val="22"/>
                <w:szCs w:val="22"/>
              </w:rPr>
              <w:t xml:space="preserve">"подають до Національної комісії з цінних паперів та фондового ринку звітні дані та іншу звітність, а також розкривають їх в інший </w:t>
            </w:r>
            <w:r w:rsidRPr="00BE468E">
              <w:rPr>
                <w:b/>
                <w:bCs/>
                <w:color w:val="333333"/>
                <w:sz w:val="22"/>
                <w:szCs w:val="22"/>
              </w:rPr>
              <w:lastRenderedPageBreak/>
              <w:t>спосіб відповідно до вимог, встановлених Національною комісією з цінних паперів та фондового ринку;</w:t>
            </w:r>
            <w:r w:rsidR="00BE468E" w:rsidRPr="00BE468E">
              <w:rPr>
                <w:color w:val="333333"/>
                <w:sz w:val="22"/>
                <w:szCs w:val="22"/>
                <w:lang w:val="uk-UA"/>
              </w:rPr>
              <w:t>ʼ</w:t>
            </w:r>
          </w:p>
          <w:p w14:paraId="58A40F5B" w14:textId="77777777" w:rsidR="00BE468E" w:rsidRPr="00BE468E" w:rsidRDefault="00BE468E" w:rsidP="00D3604A">
            <w:pPr>
              <w:pStyle w:val="rvps2"/>
              <w:shd w:val="clear" w:color="auto" w:fill="FFFFFF"/>
              <w:spacing w:before="0" w:beforeAutospacing="0" w:after="150" w:afterAutospacing="0"/>
              <w:ind w:firstLine="450"/>
              <w:jc w:val="both"/>
              <w:rPr>
                <w:color w:val="333333"/>
                <w:sz w:val="22"/>
                <w:szCs w:val="22"/>
                <w:lang w:val="uk-UA"/>
              </w:rPr>
            </w:pPr>
          </w:p>
          <w:p w14:paraId="6EE318B6" w14:textId="77777777" w:rsidR="00BE468E" w:rsidRPr="00BE468E" w:rsidRDefault="00BE468E" w:rsidP="00BE468E">
            <w:pPr>
              <w:pStyle w:val="rvps2"/>
              <w:shd w:val="clear" w:color="auto" w:fill="FFFFFF"/>
              <w:spacing w:before="0" w:beforeAutospacing="0" w:after="150" w:afterAutospacing="0"/>
              <w:jc w:val="both"/>
              <w:rPr>
                <w:color w:val="333333"/>
                <w:sz w:val="22"/>
                <w:szCs w:val="22"/>
                <w:lang w:val="uk-UA"/>
              </w:rPr>
            </w:pPr>
          </w:p>
          <w:p w14:paraId="500C4CB6" w14:textId="77777777" w:rsidR="00BE468E" w:rsidRPr="00BE468E" w:rsidRDefault="00BE468E" w:rsidP="00BE468E">
            <w:pPr>
              <w:pStyle w:val="rvps2"/>
              <w:shd w:val="clear" w:color="auto" w:fill="FFFFFF"/>
              <w:spacing w:before="0" w:beforeAutospacing="0" w:after="150" w:afterAutospacing="0"/>
              <w:jc w:val="both"/>
              <w:rPr>
                <w:color w:val="333333"/>
                <w:sz w:val="22"/>
                <w:szCs w:val="22"/>
                <w:lang w:val="uk-UA"/>
              </w:rPr>
            </w:pPr>
          </w:p>
          <w:p w14:paraId="6AEE972F" w14:textId="77777777" w:rsidR="00D3604A" w:rsidRPr="00BE468E" w:rsidRDefault="00D3604A" w:rsidP="00D3604A">
            <w:pPr>
              <w:pStyle w:val="rvps2"/>
              <w:shd w:val="clear" w:color="auto" w:fill="FFFFFF"/>
              <w:spacing w:before="0" w:beforeAutospacing="0" w:after="150" w:afterAutospacing="0"/>
              <w:ind w:firstLine="450"/>
              <w:jc w:val="both"/>
              <w:rPr>
                <w:b/>
                <w:bCs/>
                <w:color w:val="333333"/>
                <w:sz w:val="22"/>
                <w:szCs w:val="22"/>
              </w:rPr>
            </w:pPr>
            <w:bookmarkStart w:id="6" w:name="n995"/>
            <w:bookmarkEnd w:id="6"/>
            <w:r w:rsidRPr="00BE468E">
              <w:rPr>
                <w:b/>
                <w:bCs/>
                <w:color w:val="333333"/>
                <w:sz w:val="22"/>
                <w:szCs w:val="22"/>
              </w:rPr>
              <w:t>зобов’язані надавати Національній комісії з цінних паперів та фондового ринку (у тому числі на її запит або вимогу) іншу інформацію та документи відповідно до вимог, встановлених законодавством України";</w:t>
            </w:r>
          </w:p>
          <w:p w14:paraId="6443D0F8" w14:textId="77777777" w:rsidR="00D3604A" w:rsidRPr="00BE468E" w:rsidRDefault="00D3604A">
            <w:pPr>
              <w:rPr>
                <w:rFonts w:ascii="Times New Roman" w:hAnsi="Times New Roman" w:cs="Times New Roman"/>
                <w:color w:val="333333"/>
                <w:sz w:val="22"/>
                <w:szCs w:val="22"/>
                <w:shd w:val="clear" w:color="auto" w:fill="FFFFFF"/>
              </w:rPr>
            </w:pPr>
          </w:p>
          <w:p w14:paraId="18B4AC96" w14:textId="77777777" w:rsidR="00BE468E" w:rsidRPr="00BE468E" w:rsidRDefault="00BE468E" w:rsidP="00BE468E">
            <w:pPr>
              <w:pStyle w:val="rvps2"/>
              <w:shd w:val="clear" w:color="auto" w:fill="FFFFFF"/>
              <w:spacing w:before="0" w:beforeAutospacing="0" w:after="150" w:afterAutospacing="0"/>
              <w:ind w:firstLine="450"/>
              <w:jc w:val="both"/>
              <w:rPr>
                <w:color w:val="333333"/>
                <w:sz w:val="22"/>
                <w:szCs w:val="22"/>
              </w:rPr>
            </w:pPr>
            <w:r w:rsidRPr="00BE468E">
              <w:rPr>
                <w:color w:val="333333"/>
                <w:sz w:val="22"/>
                <w:szCs w:val="22"/>
              </w:rPr>
              <w:t>Учасникам ринків капіталу та професійним учасникам організованих товарних ринків, державне регулювання та нагляд за діяльністю яких здійснює Національна комісія з цінних паперів та фондового ринку, які протягом 30 календарних днів після закінчення граничного строку, встановленого законодавством, не подали звітність, визначену </w:t>
            </w:r>
            <w:hyperlink r:id="rId13" w:anchor="n27" w:history="1">
              <w:r w:rsidRPr="00BE468E">
                <w:rPr>
                  <w:rStyle w:val="a4"/>
                  <w:color w:val="006600"/>
                  <w:sz w:val="22"/>
                  <w:szCs w:val="22"/>
                </w:rPr>
                <w:t>абзацом третім</w:t>
              </w:r>
            </w:hyperlink>
            <w:r w:rsidRPr="00BE468E">
              <w:rPr>
                <w:color w:val="333333"/>
                <w:sz w:val="22"/>
                <w:szCs w:val="22"/>
              </w:rPr>
              <w:t> цього підпункту, забороняється укладати будь-які нові договори у процесі провадження професійної діяльності на ринках капіталу та організованих товарних ринках та вносити зміни до чинних договорів щодо збільшення їхніх зобов’язань за такими договорами. Право зазначених у цьому абзаці осіб укладати будь-які нові договори у процесі провадження професійної діяльності на ринках капіталу та організованих товарних ринках та вносити зміни до чинних договорів щодо збільшення їхніх зобов’язань за такими договорами відновлюється з дня, наступного за днем подання до Національної комісії з цінних паперів та фондового ринку звітності відповідно до вимог, встановлених Національною комісією з цінних паперів та фондового ринку.</w:t>
            </w:r>
          </w:p>
          <w:p w14:paraId="664DBEF2" w14:textId="77777777" w:rsidR="00BE468E" w:rsidRPr="00BE468E" w:rsidRDefault="00BE468E" w:rsidP="00BE468E">
            <w:pPr>
              <w:pStyle w:val="rvps2"/>
              <w:shd w:val="clear" w:color="auto" w:fill="FFFFFF"/>
              <w:spacing w:before="0" w:beforeAutospacing="0" w:after="150" w:afterAutospacing="0"/>
              <w:ind w:firstLine="450"/>
              <w:jc w:val="both"/>
              <w:rPr>
                <w:color w:val="333333"/>
                <w:sz w:val="22"/>
                <w:szCs w:val="22"/>
              </w:rPr>
            </w:pPr>
            <w:r w:rsidRPr="00BE468E">
              <w:rPr>
                <w:color w:val="333333"/>
                <w:sz w:val="22"/>
                <w:szCs w:val="22"/>
              </w:rPr>
              <w:t>До учасників ринків капіталу та професійних учасників організованих товарних ринків, державне регулювання та нагляд за діяльністю яких здійснює Національна комісія з цінних паперів та фондового ринку, місцезнаходженням яких є території активних бойових дій або тимчасово окуповані Російською Федерацією території України, які включені до </w:t>
            </w:r>
            <w:hyperlink r:id="rId14" w:anchor="n15" w:tgtFrame="_blank" w:history="1">
              <w:r w:rsidRPr="00BE468E">
                <w:rPr>
                  <w:rStyle w:val="a4"/>
                  <w:color w:val="000099"/>
                  <w:sz w:val="22"/>
                  <w:szCs w:val="22"/>
                </w:rPr>
                <w:t xml:space="preserve">Переліку територій, на яких ведуться (велися) бойові дії </w:t>
              </w:r>
              <w:r w:rsidRPr="00BE468E">
                <w:rPr>
                  <w:rStyle w:val="a4"/>
                  <w:color w:val="000099"/>
                  <w:sz w:val="22"/>
                  <w:szCs w:val="22"/>
                </w:rPr>
                <w:lastRenderedPageBreak/>
                <w:t>або тимчасово окупованих Російською Федерацією</w:t>
              </w:r>
            </w:hyperlink>
            <w:r w:rsidRPr="00BE468E">
              <w:rPr>
                <w:color w:val="333333"/>
                <w:sz w:val="22"/>
                <w:szCs w:val="22"/>
              </w:rPr>
              <w:t>, що визначається у встановленому Кабінетом Міністрів України порядку, у період бойових дій або тимчасової окупації та протягом трьох місяців після дати завершення бойових дій або тимчасової окупації не застосовуються передбачені законом заходи впливу за неподання чи несвоєчасне подання звітності, іншої інформації та/або документів, визначених </w:t>
            </w:r>
            <w:hyperlink r:id="rId15" w:anchor="n27" w:history="1">
              <w:r w:rsidRPr="00BE468E">
                <w:rPr>
                  <w:rStyle w:val="a4"/>
                  <w:color w:val="006600"/>
                  <w:sz w:val="22"/>
                  <w:szCs w:val="22"/>
                </w:rPr>
                <w:t>абзацами третім</w:t>
              </w:r>
            </w:hyperlink>
            <w:r w:rsidRPr="00BE468E">
              <w:rPr>
                <w:color w:val="333333"/>
                <w:sz w:val="22"/>
                <w:szCs w:val="22"/>
              </w:rPr>
              <w:t> і </w:t>
            </w:r>
            <w:hyperlink r:id="rId16" w:anchor="n28" w:history="1">
              <w:r w:rsidRPr="00BE468E">
                <w:rPr>
                  <w:rStyle w:val="a4"/>
                  <w:color w:val="006600"/>
                  <w:sz w:val="22"/>
                  <w:szCs w:val="22"/>
                </w:rPr>
                <w:t>четвертим</w:t>
              </w:r>
            </w:hyperlink>
            <w:r w:rsidRPr="00BE468E">
              <w:rPr>
                <w:color w:val="333333"/>
                <w:sz w:val="22"/>
                <w:szCs w:val="22"/>
              </w:rPr>
              <w:t> цього підпункту;</w:t>
            </w:r>
          </w:p>
          <w:p w14:paraId="491D732C" w14:textId="77777777" w:rsidR="00BE468E" w:rsidRPr="00BE468E" w:rsidRDefault="00BE468E">
            <w:pPr>
              <w:rPr>
                <w:rFonts w:ascii="Times New Roman" w:hAnsi="Times New Roman" w:cs="Times New Roman"/>
                <w:color w:val="333333"/>
                <w:sz w:val="22"/>
                <w:szCs w:val="22"/>
                <w:shd w:val="clear" w:color="auto" w:fill="FFFFFF"/>
              </w:rPr>
            </w:pPr>
          </w:p>
        </w:tc>
      </w:tr>
      <w:tr w:rsidR="00D3604A" w:rsidRPr="00BE468E" w14:paraId="5BC8542A" w14:textId="77777777" w:rsidTr="00D3604A">
        <w:tc>
          <w:tcPr>
            <w:tcW w:w="6909" w:type="dxa"/>
          </w:tcPr>
          <w:p w14:paraId="1BC98DA5" w14:textId="77777777" w:rsidR="00D3604A" w:rsidRPr="00BE468E" w:rsidRDefault="00D3604A">
            <w:pPr>
              <w:rPr>
                <w:rFonts w:ascii="Times New Roman" w:hAnsi="Times New Roman" w:cs="Times New Roman"/>
                <w:sz w:val="22"/>
                <w:szCs w:val="22"/>
              </w:rPr>
            </w:pPr>
          </w:p>
        </w:tc>
        <w:tc>
          <w:tcPr>
            <w:tcW w:w="7124" w:type="dxa"/>
          </w:tcPr>
          <w:p w14:paraId="1E4BC4C4" w14:textId="77777777" w:rsidR="00D3604A" w:rsidRPr="00BE468E" w:rsidRDefault="00D3604A">
            <w:pPr>
              <w:rPr>
                <w:rFonts w:ascii="Times New Roman" w:hAnsi="Times New Roman" w:cs="Times New Roman"/>
                <w:color w:val="333333"/>
                <w:sz w:val="22"/>
                <w:szCs w:val="22"/>
                <w:shd w:val="clear" w:color="auto" w:fill="FFFFFF"/>
              </w:rPr>
            </w:pPr>
          </w:p>
        </w:tc>
      </w:tr>
    </w:tbl>
    <w:p w14:paraId="646805B1" w14:textId="77777777" w:rsidR="00D3604A" w:rsidRDefault="00D3604A"/>
    <w:sectPr w:rsidR="00D3604A" w:rsidSect="00D3604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04A"/>
    <w:rsid w:val="007335FE"/>
    <w:rsid w:val="00BE468E"/>
    <w:rsid w:val="00D3604A"/>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85CD"/>
  <w15:chartTrackingRefBased/>
  <w15:docId w15:val="{4EB6FED9-D232-E542-8110-9B06BB1D1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autoRedefine/>
    <w:uiPriority w:val="9"/>
    <w:unhideWhenUsed/>
    <w:qFormat/>
    <w:rsid w:val="007335FE"/>
    <w:pPr>
      <w:keepNext/>
      <w:keepLines/>
      <w:spacing w:before="280" w:after="80" w:line="259" w:lineRule="auto"/>
      <w:jc w:val="center"/>
      <w:outlineLvl w:val="2"/>
    </w:pPr>
    <w:rPr>
      <w:rFonts w:ascii="Georgia" w:eastAsia="Calibri" w:hAnsi="Georgia" w:cs="Calibri"/>
      <w:b/>
      <w:i/>
      <w:kern w:val="0"/>
      <w:sz w:val="28"/>
      <w:szCs w:val="28"/>
      <w:lang w:val="uk-UA"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335FE"/>
    <w:rPr>
      <w:rFonts w:ascii="Georgia" w:eastAsia="Calibri" w:hAnsi="Georgia" w:cs="Calibri"/>
      <w:b/>
      <w:i/>
      <w:kern w:val="0"/>
      <w:sz w:val="28"/>
      <w:szCs w:val="28"/>
      <w:lang w:val="uk-UA" w:eastAsia="ru-RU"/>
      <w14:ligatures w14:val="none"/>
    </w:rPr>
  </w:style>
  <w:style w:type="table" w:styleId="a3">
    <w:name w:val="Table Grid"/>
    <w:basedOn w:val="a1"/>
    <w:uiPriority w:val="39"/>
    <w:rsid w:val="00D360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D3604A"/>
    <w:rPr>
      <w:color w:val="0000FF"/>
      <w:u w:val="single"/>
    </w:rPr>
  </w:style>
  <w:style w:type="character" w:styleId="a5">
    <w:name w:val="Unresolved Mention"/>
    <w:basedOn w:val="a0"/>
    <w:uiPriority w:val="99"/>
    <w:semiHidden/>
    <w:unhideWhenUsed/>
    <w:rsid w:val="00D3604A"/>
    <w:rPr>
      <w:color w:val="605E5C"/>
      <w:shd w:val="clear" w:color="auto" w:fill="E1DFDD"/>
    </w:rPr>
  </w:style>
  <w:style w:type="character" w:styleId="a6">
    <w:name w:val="FollowedHyperlink"/>
    <w:basedOn w:val="a0"/>
    <w:uiPriority w:val="99"/>
    <w:semiHidden/>
    <w:unhideWhenUsed/>
    <w:rsid w:val="00D3604A"/>
    <w:rPr>
      <w:color w:val="954F72" w:themeColor="followedHyperlink"/>
      <w:u w:val="single"/>
    </w:rPr>
  </w:style>
  <w:style w:type="paragraph" w:customStyle="1" w:styleId="rvps2">
    <w:name w:val="rvps2"/>
    <w:basedOn w:val="a"/>
    <w:rsid w:val="00D3604A"/>
    <w:pPr>
      <w:spacing w:before="100" w:beforeAutospacing="1" w:after="100" w:afterAutospacing="1"/>
    </w:pPr>
    <w:rPr>
      <w:rFonts w:ascii="Times New Roman" w:eastAsia="Times New Roman" w:hAnsi="Times New Roman" w:cs="Times New Roman"/>
      <w:kern w:val="0"/>
      <w:lang w:eastAsia="ru-RU"/>
      <w14:ligatures w14:val="none"/>
    </w:rPr>
  </w:style>
  <w:style w:type="character" w:customStyle="1" w:styleId="rvts37">
    <w:name w:val="rvts37"/>
    <w:basedOn w:val="a0"/>
    <w:rsid w:val="00D36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39128">
      <w:bodyDiv w:val="1"/>
      <w:marLeft w:val="0"/>
      <w:marRight w:val="0"/>
      <w:marTop w:val="0"/>
      <w:marBottom w:val="0"/>
      <w:divBdr>
        <w:top w:val="none" w:sz="0" w:space="0" w:color="auto"/>
        <w:left w:val="none" w:sz="0" w:space="0" w:color="auto"/>
        <w:bottom w:val="none" w:sz="0" w:space="0" w:color="auto"/>
        <w:right w:val="none" w:sz="0" w:space="0" w:color="auto"/>
      </w:divBdr>
    </w:div>
    <w:div w:id="1369835971">
      <w:bodyDiv w:val="1"/>
      <w:marLeft w:val="0"/>
      <w:marRight w:val="0"/>
      <w:marTop w:val="0"/>
      <w:marBottom w:val="0"/>
      <w:divBdr>
        <w:top w:val="none" w:sz="0" w:space="0" w:color="auto"/>
        <w:left w:val="none" w:sz="0" w:space="0" w:color="auto"/>
        <w:bottom w:val="none" w:sz="0" w:space="0" w:color="auto"/>
        <w:right w:val="none" w:sz="0" w:space="0" w:color="auto"/>
      </w:divBdr>
    </w:div>
    <w:div w:id="1752197478">
      <w:bodyDiv w:val="1"/>
      <w:marLeft w:val="0"/>
      <w:marRight w:val="0"/>
      <w:marTop w:val="0"/>
      <w:marBottom w:val="0"/>
      <w:divBdr>
        <w:top w:val="none" w:sz="0" w:space="0" w:color="auto"/>
        <w:left w:val="none" w:sz="0" w:space="0" w:color="auto"/>
        <w:bottom w:val="none" w:sz="0" w:space="0" w:color="auto"/>
        <w:right w:val="none" w:sz="0" w:space="0" w:color="auto"/>
      </w:divBdr>
    </w:div>
    <w:div w:id="179636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15-20" TargetMode="External"/><Relationship Id="rId13" Type="http://schemas.openxmlformats.org/officeDocument/2006/relationships/hyperlink" Target="https://zakon.rada.gov.ua/laws/show/2115-20"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laws/show/2115-20" TargetMode="External"/><Relationship Id="rId12" Type="http://schemas.openxmlformats.org/officeDocument/2006/relationships/hyperlink" Target="https://zakon.rada.gov.ua/laws/show/2115-20"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zakon.rada.gov.ua/laws/show/2115-20" TargetMode="External"/><Relationship Id="rId1" Type="http://schemas.openxmlformats.org/officeDocument/2006/relationships/styles" Target="styles.xml"/><Relationship Id="rId6" Type="http://schemas.openxmlformats.org/officeDocument/2006/relationships/hyperlink" Target="https://zakon.rada.gov.ua/laws/show/2115-20" TargetMode="External"/><Relationship Id="rId11" Type="http://schemas.openxmlformats.org/officeDocument/2006/relationships/hyperlink" Target="https://zakon.rada.gov.ua/laws/show/2115-20" TargetMode="External"/><Relationship Id="rId5" Type="http://schemas.openxmlformats.org/officeDocument/2006/relationships/hyperlink" Target="https://zakon.rada.gov.ua/laws/show/2115-20" TargetMode="External"/><Relationship Id="rId15" Type="http://schemas.openxmlformats.org/officeDocument/2006/relationships/hyperlink" Target="https://zakon.rada.gov.ua/laws/show/2115-20" TargetMode="External"/><Relationship Id="rId10" Type="http://schemas.openxmlformats.org/officeDocument/2006/relationships/hyperlink" Target="https://zakon.rada.gov.ua/laws/show/z1668-22" TargetMode="External"/><Relationship Id="rId4" Type="http://schemas.openxmlformats.org/officeDocument/2006/relationships/hyperlink" Target="https://zakon.rada.gov.ua/laws/show/4196-20" TargetMode="External"/><Relationship Id="rId9" Type="http://schemas.openxmlformats.org/officeDocument/2006/relationships/hyperlink" Target="https://zakon.rada.gov.ua/laws/show/2115-20" TargetMode="External"/><Relationship Id="rId14" Type="http://schemas.openxmlformats.org/officeDocument/2006/relationships/hyperlink" Target="https://zakon.rada.gov.ua/laws/show/z1668-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1838</Words>
  <Characters>10477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 Герасимюк</dc:creator>
  <cp:keywords/>
  <dc:description/>
  <cp:lastModifiedBy>Павел Герасимюк</cp:lastModifiedBy>
  <cp:revision>1</cp:revision>
  <dcterms:created xsi:type="dcterms:W3CDTF">2025-04-07T07:10:00Z</dcterms:created>
  <dcterms:modified xsi:type="dcterms:W3CDTF">2025-04-07T07:40:00Z</dcterms:modified>
</cp:coreProperties>
</file>