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ad"/>
        <w:tblW w:w="0" w:type="auto"/>
        <w:tblLook w:val="04A0" w:firstRow="1" w:lastRow="0" w:firstColumn="1" w:lastColumn="0" w:noHBand="0" w:noVBand="1"/>
      </w:tblPr>
      <w:tblGrid>
        <w:gridCol w:w="5524"/>
        <w:gridCol w:w="5386"/>
        <w:gridCol w:w="3038"/>
      </w:tblGrid>
      <w:tr w:rsidR="007D5AC1" w:rsidRPr="007D5AC1" w14:paraId="4282DCE2" w14:textId="77777777" w:rsidTr="007D5AC1">
        <w:tc>
          <w:tcPr>
            <w:tcW w:w="5524" w:type="dxa"/>
            <w:hideMark/>
          </w:tcPr>
          <w:p w14:paraId="58D1E67E" w14:textId="77777777" w:rsidR="007D5AC1" w:rsidRPr="007D5AC1" w:rsidRDefault="007D5AC1" w:rsidP="007D5AC1">
            <w:pPr>
              <w:jc w:val="cente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ЧИННА РЕДАКЦІЯ</w:t>
            </w:r>
          </w:p>
        </w:tc>
        <w:tc>
          <w:tcPr>
            <w:tcW w:w="5386" w:type="dxa"/>
            <w:hideMark/>
          </w:tcPr>
          <w:p w14:paraId="07845155" w14:textId="77777777" w:rsidR="007D5AC1" w:rsidRPr="007D5AC1" w:rsidRDefault="007D5AC1" w:rsidP="007D5AC1">
            <w:pPr>
              <w:jc w:val="cente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ПРОЄКТ</w:t>
            </w:r>
          </w:p>
        </w:tc>
        <w:tc>
          <w:tcPr>
            <w:tcW w:w="3038" w:type="dxa"/>
            <w:hideMark/>
          </w:tcPr>
          <w:p w14:paraId="7A30F062" w14:textId="77777777" w:rsidR="007D5AC1" w:rsidRPr="007D5AC1" w:rsidRDefault="007D5AC1" w:rsidP="007D5AC1">
            <w:pPr>
              <w:jc w:val="cente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ЩО ЗМІНЮЄТЬСЯ</w:t>
            </w:r>
          </w:p>
        </w:tc>
      </w:tr>
      <w:tr w:rsidR="007D5AC1" w:rsidRPr="007D5AC1" w14:paraId="4378187D" w14:textId="77777777" w:rsidTr="007D5AC1">
        <w:tc>
          <w:tcPr>
            <w:tcW w:w="5524" w:type="dxa"/>
            <w:hideMark/>
          </w:tcPr>
          <w:p w14:paraId="3160988D"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14. Суб’єкт первинного фінансового моніторингу зобов’язаний додатково під час належної перевірки здійснювати стосовно клієнтів, які (кінцеві бенефіціарні власники яких) є політично значущими особами, членами їх сімей та особами, пов’язаними з політично значущими особами, такі заходи:</w:t>
            </w:r>
          </w:p>
        </w:tc>
        <w:tc>
          <w:tcPr>
            <w:tcW w:w="5386" w:type="dxa"/>
            <w:hideMark/>
          </w:tcPr>
          <w:p w14:paraId="61C939E1"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14. Суб’єкт первинного фінансового моніторингу зобов’язаний додатково під час належної перевірки здійснювати стосовно клієнтів, які (кінцеві бенефіціарні власники яких) є політично значущими особами, членами їх сімей та особами, пов’язаними з політично значущими особами, такі заходи:</w:t>
            </w:r>
          </w:p>
        </w:tc>
        <w:tc>
          <w:tcPr>
            <w:tcW w:w="3038" w:type="dxa"/>
            <w:hideMark/>
          </w:tcPr>
          <w:p w14:paraId="7FBE52B6"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Без змін.</w:t>
            </w:r>
          </w:p>
        </w:tc>
      </w:tr>
      <w:tr w:rsidR="007D5AC1" w:rsidRPr="007D5AC1" w14:paraId="39A652DD" w14:textId="77777777" w:rsidTr="007D5AC1">
        <w:tc>
          <w:tcPr>
            <w:tcW w:w="5524" w:type="dxa"/>
            <w:hideMark/>
          </w:tcPr>
          <w:p w14:paraId="71503D5D"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1) мати належну систему управління ризиками з метою виявлення факту належності клієнта або кінцевого бенефіціарного власника клієнта до зазначеної категорії;</w:t>
            </w:r>
          </w:p>
        </w:tc>
        <w:tc>
          <w:tcPr>
            <w:tcW w:w="5386" w:type="dxa"/>
            <w:hideMark/>
          </w:tcPr>
          <w:p w14:paraId="2E4EFD57"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1) мати належну систему управління ризиками з метою виявлення факту належності клієнта або кінцевого бенефіціарного власника клієнта до зазначеної категорії;</w:t>
            </w:r>
          </w:p>
        </w:tc>
        <w:tc>
          <w:tcPr>
            <w:tcW w:w="3038" w:type="dxa"/>
            <w:hideMark/>
          </w:tcPr>
          <w:p w14:paraId="2759C34E"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Без змін.</w:t>
            </w:r>
          </w:p>
        </w:tc>
      </w:tr>
      <w:tr w:rsidR="007D5AC1" w:rsidRPr="007D5AC1" w14:paraId="24620FF6" w14:textId="77777777" w:rsidTr="007D5AC1">
        <w:tc>
          <w:tcPr>
            <w:tcW w:w="5524" w:type="dxa"/>
            <w:hideMark/>
          </w:tcPr>
          <w:p w14:paraId="3CC5C5B9"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2) одержувати дозвіл керівника суб’єкта первинного фінансового моніторингу для встановлення (продовження) ділових відносин, проведення (без встановлення ділових відносин) фінансових операцій на суму, що дорівнює чи перевищує суму, визначену частиною першою статті 20 цього Закону (незалежно від того, проводиться така фінансова операція одноразово чи як кілька фінансових операцій, що можуть бути пов’язані між собою);</w:t>
            </w:r>
          </w:p>
        </w:tc>
        <w:tc>
          <w:tcPr>
            <w:tcW w:w="5386" w:type="dxa"/>
            <w:hideMark/>
          </w:tcPr>
          <w:p w14:paraId="0A3F1118"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2) одержувати дозвіл керівника суб’єкта первинного фінансового моніторингу для встановлення (продовження) ділових відносин, проведення (без встановлення ділових відносин) фінансових операцій на суму, що дорівнює чи перевищує суму, визначену частиною першою статті 20 цього Закону (незалежно від того, проводиться така фінансова операція одноразово чи як кілька фінансових операцій, що можуть бути пов’язані між собою);</w:t>
            </w:r>
          </w:p>
        </w:tc>
        <w:tc>
          <w:tcPr>
            <w:tcW w:w="3038" w:type="dxa"/>
            <w:hideMark/>
          </w:tcPr>
          <w:p w14:paraId="307F72C0"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Без змін.</w:t>
            </w:r>
          </w:p>
        </w:tc>
      </w:tr>
      <w:tr w:rsidR="007D5AC1" w:rsidRPr="007D5AC1" w14:paraId="2001666B" w14:textId="77777777" w:rsidTr="007D5AC1">
        <w:tc>
          <w:tcPr>
            <w:tcW w:w="5524" w:type="dxa"/>
            <w:hideMark/>
          </w:tcPr>
          <w:p w14:paraId="610B0C88"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3) вживати достатніх заходів з метою встановлення джерела статків (багатства) та джерела коштів, з якими пов’язані ділові відносини чи операції з такими особами;</w:t>
            </w:r>
          </w:p>
        </w:tc>
        <w:tc>
          <w:tcPr>
            <w:tcW w:w="5386" w:type="dxa"/>
            <w:hideMark/>
          </w:tcPr>
          <w:p w14:paraId="7FECB823"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3) вживати достатніх заходів з метою встановлення джерела статків (багатства) та джерела коштів, з якими пов’язані ділові відносини чи операції з такими особами;</w:t>
            </w:r>
          </w:p>
        </w:tc>
        <w:tc>
          <w:tcPr>
            <w:tcW w:w="3038" w:type="dxa"/>
            <w:hideMark/>
          </w:tcPr>
          <w:p w14:paraId="376104C9"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Без змін.</w:t>
            </w:r>
          </w:p>
        </w:tc>
      </w:tr>
      <w:tr w:rsidR="007D5AC1" w:rsidRPr="007D5AC1" w14:paraId="43C53885" w14:textId="77777777" w:rsidTr="007D5AC1">
        <w:tc>
          <w:tcPr>
            <w:tcW w:w="5524" w:type="dxa"/>
            <w:hideMark/>
          </w:tcPr>
          <w:p w14:paraId="70C2D0B7"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4) здійснювати на постійній основі поглиблений моніторинг ділових відносин.</w:t>
            </w:r>
          </w:p>
        </w:tc>
        <w:tc>
          <w:tcPr>
            <w:tcW w:w="5386" w:type="dxa"/>
            <w:hideMark/>
          </w:tcPr>
          <w:p w14:paraId="7CCDDF02"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4) здійснювати на постійній основі поглиблений моніторинг ділових відносин.</w:t>
            </w:r>
          </w:p>
        </w:tc>
        <w:tc>
          <w:tcPr>
            <w:tcW w:w="3038" w:type="dxa"/>
            <w:hideMark/>
          </w:tcPr>
          <w:p w14:paraId="00F14A8A"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Без змін.</w:t>
            </w:r>
          </w:p>
        </w:tc>
      </w:tr>
      <w:tr w:rsidR="007D5AC1" w:rsidRPr="007D5AC1" w14:paraId="472D196E" w14:textId="77777777" w:rsidTr="007D5AC1">
        <w:tc>
          <w:tcPr>
            <w:tcW w:w="5524" w:type="dxa"/>
            <w:hideMark/>
          </w:tcPr>
          <w:p w14:paraId="00161C7D"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Обсяг дій суб’єкта первинного фінансового моніторингу щодо заходів, визначених пунктами 2-4 цієї частини, має бути пропорційним ризику ділових відносин (фінансової операції без встановлення ділових відносин) з клієнтом.</w:t>
            </w:r>
          </w:p>
        </w:tc>
        <w:tc>
          <w:tcPr>
            <w:tcW w:w="5386" w:type="dxa"/>
            <w:hideMark/>
          </w:tcPr>
          <w:p w14:paraId="6B4FA200"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Обсяг дій суб’єкта первинного фінансового моніторингу щодо заходів, визначених пунктами 2—4 цієї частини, повинен бути пропорційним ризику ділових відносин (фінансової операції без встановлення ділових відносин) з клієнтом.</w:t>
            </w:r>
          </w:p>
        </w:tc>
        <w:tc>
          <w:tcPr>
            <w:tcW w:w="3038" w:type="dxa"/>
            <w:hideMark/>
          </w:tcPr>
          <w:p w14:paraId="6906DBDA"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«має бути» → «повинен бути». Також «2-4» → «2—4» — технічне оформлення.</w:t>
            </w:r>
          </w:p>
        </w:tc>
      </w:tr>
      <w:tr w:rsidR="007D5AC1" w:rsidRPr="007D5AC1" w14:paraId="1A0DDB9E" w14:textId="77777777" w:rsidTr="007D5AC1">
        <w:tc>
          <w:tcPr>
            <w:tcW w:w="5524" w:type="dxa"/>
            <w:hideMark/>
          </w:tcPr>
          <w:p w14:paraId="283565A2"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Суб’єкт первинного фінансового моніторингу повинен забезпечити належне застосування ризик-орієнтованого підходу під час обслуговування клієнтів, які є політично значущими особами, членами їх сімей, особами, пов’язаними з політично значущими особами, з метою встановлення обґрунтованого рівня ризику діловим відносинам (проведенню фінансової операції без встановлення ділових відносин), унеможливлення безпідставної відмови від здійснення фінансових операцій та/або встановлення (продовження) ділових відносин.</w:t>
            </w:r>
          </w:p>
        </w:tc>
        <w:tc>
          <w:tcPr>
            <w:tcW w:w="5386" w:type="dxa"/>
            <w:hideMark/>
          </w:tcPr>
          <w:p w14:paraId="2388B512"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Суб’єкт первинного фінансового моніторингу повинен забезпечити належне застосування ризик-орієнтованого підходу під час обслуговування клієнтів, які є політично значущими особами, членами їх сімей, особами, пов’язаними з політично значущими особами, з метою встановлення обґрунтованого рівня ризику діловим відносинам (проведенню фінансової операції без встановлення ділових відносин), унеможливлення безпідставної відмови від здійснення фінансових операцій та/або встановлення (продовження) ділових відносин.</w:t>
            </w:r>
          </w:p>
        </w:tc>
        <w:tc>
          <w:tcPr>
            <w:tcW w:w="3038" w:type="dxa"/>
            <w:hideMark/>
          </w:tcPr>
          <w:p w14:paraId="4E973660"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Без змін.</w:t>
            </w:r>
          </w:p>
        </w:tc>
      </w:tr>
      <w:tr w:rsidR="007D5AC1" w:rsidRPr="007D5AC1" w14:paraId="228D9788" w14:textId="77777777" w:rsidTr="007D5AC1">
        <w:tc>
          <w:tcPr>
            <w:tcW w:w="5524" w:type="dxa"/>
            <w:hideMark/>
          </w:tcPr>
          <w:p w14:paraId="20AEEE9A"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lastRenderedPageBreak/>
              <w:t>Суб’єкт первинного фінансового моніторингу несе відповідальність за неналежне застосування до клієнтів, які є політично значущими особами, членами їх сімей, особами, пов’язаними з політично значущими особами, ризик-орієнтованого підходу, включаючи встановлення необґрунтованого рівня ризику діловим відносинам (проведенню фінансової операції без встановлення ділових відносин) та/або вжиття щодо них непропорційних заходів відповідно до категорії ризику, безпідставну відмову від встановлення (підтримання) ділових відносин та/або проведення фінансової операції.</w:t>
            </w:r>
          </w:p>
        </w:tc>
        <w:tc>
          <w:tcPr>
            <w:tcW w:w="5386" w:type="dxa"/>
            <w:hideMark/>
          </w:tcPr>
          <w:p w14:paraId="7204583E"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**Суб’єкт первинного фінансового моніторингу несе відповідальність за неналежне застосування до клієнтів, які є політично значущими особами, членами їх сімей, особами, пов’язаними з політично значущими особами, ризик-орієнтованого підходу, включаючи встановлення необґрунтованого рівня ризику діловим відносинам (проведенню фінансової операції без встановлення ділових відносин) та/або вжиття щодо них непропорційних заходів відповідно до категорії ризику, безпідставну відмову від встановлення (підтримання) ділових відносин та/або проведення фінансової операції та/або порушення вимог цієї частини щодо вжиття заходів, визначених пунктами 2—4 цієї частини, зокрема безпідставне вжиття таких заходів.</w:t>
            </w:r>
          </w:p>
        </w:tc>
        <w:tc>
          <w:tcPr>
            <w:tcW w:w="3038" w:type="dxa"/>
            <w:hideMark/>
          </w:tcPr>
          <w:p w14:paraId="2BBA3B9C"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ДОДАНО нову підставу відповідальності: порушення вимог щодо заходів за пунктами 2—4, зокрема їх безпідставне застосування.</w:t>
            </w:r>
          </w:p>
        </w:tc>
      </w:tr>
      <w:tr w:rsidR="007D5AC1" w:rsidRPr="007D5AC1" w14:paraId="58457F16" w14:textId="77777777" w:rsidTr="007D5AC1">
        <w:tc>
          <w:tcPr>
            <w:tcW w:w="5524" w:type="dxa"/>
            <w:hideMark/>
          </w:tcPr>
          <w:p w14:paraId="2CFAF74D"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У разі відмови клієнту, який (бенефіціарний власник якого) є політично значущою особою, членом її сім’ї, особою, пов’язаною з політично значущою особою, від встановлення (підтримання) ділових відносин та/або проведення фінансової операції суб’єкт первинного фінансового моніторингу зобов’язаний протягом п’яти робочих днів надати такому клієнту пояснення з обґрунтуванням причини такої відмови у письмовій формі.</w:t>
            </w:r>
          </w:p>
        </w:tc>
        <w:tc>
          <w:tcPr>
            <w:tcW w:w="5386" w:type="dxa"/>
            <w:hideMark/>
          </w:tcPr>
          <w:p w14:paraId="32EE15F9"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У разі відмови клієнту, який (бенефіціарний власник якого) є політично значущою особою, членом її сім’ї, особою, пов’язаною з політично значущою особою, у встановленні (підтриманні) ділових відносин та/або проведення фінансової операції суб’єкт первинного фінансового моніторингу зобов’язаний протягом п’яти робочих днів надати такому клієнту пояснення з обґрунтуванням причини такої відмови у письмовій формі.</w:t>
            </w:r>
          </w:p>
        </w:tc>
        <w:tc>
          <w:tcPr>
            <w:tcW w:w="3038" w:type="dxa"/>
            <w:hideMark/>
          </w:tcPr>
          <w:p w14:paraId="72CDB27E"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«від встановлення (підтримання)» → «у встановленні (підтриманні)». По суті зміст обов’язку не змінюється.</w:t>
            </w:r>
          </w:p>
        </w:tc>
      </w:tr>
      <w:tr w:rsidR="007D5AC1" w:rsidRPr="007D5AC1" w14:paraId="27E8C889" w14:textId="77777777" w:rsidTr="007D5AC1">
        <w:tc>
          <w:tcPr>
            <w:tcW w:w="5524" w:type="dxa"/>
            <w:hideMark/>
          </w:tcPr>
          <w:p w14:paraId="7D295DCF"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У разі якщо політично значуща особа перестала виконувати визначні публічні функції, суб’єкт первинного фінансового моніторингу зобов’язаний продовжувати не менше ніж протягом дванадцяти місяців враховувати її триваючі ризики та вживати заходів, визначених пунктами 2-4 цієї частини, поки не переконається в тому, що такі ризики відсутні.</w:t>
            </w:r>
          </w:p>
        </w:tc>
        <w:tc>
          <w:tcPr>
            <w:tcW w:w="5386" w:type="dxa"/>
            <w:hideMark/>
          </w:tcPr>
          <w:p w14:paraId="3700C0D7"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У разі якщо політично значуща особа перестала виконувати визначні публічні функції, суб’єкт первинного фінансового моніторингу зобов’язаний продовжувати враховувати її триваючі ризики та вживати заходів, визначених пунктами 2—4 цієї частини, протягом не менше дванадцяти місяців з дня, наступного за днем припинення такою особою виконання визначних публічних функцій.</w:t>
            </w:r>
          </w:p>
        </w:tc>
        <w:tc>
          <w:tcPr>
            <w:tcW w:w="3038" w:type="dxa"/>
            <w:hideMark/>
          </w:tcPr>
          <w:p w14:paraId="32F2CE80"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Ключова зміна: встановлюється чіткий відлік 12 місяців — з дня, наступного за днем припинення виконання функцій. Виключається формулювання «поки не переконається в тому, що такі ризики відсутні».</w:t>
            </w:r>
          </w:p>
        </w:tc>
      </w:tr>
      <w:tr w:rsidR="007D5AC1" w:rsidRPr="007D5AC1" w14:paraId="7C720458" w14:textId="77777777" w:rsidTr="007D5AC1">
        <w:tc>
          <w:tcPr>
            <w:tcW w:w="5524" w:type="dxa"/>
            <w:hideMark/>
          </w:tcPr>
          <w:p w14:paraId="286206EA"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При цьому суб’єкт первинного фінансового моніторингу повинен враховувати ризики, що залишаються властивими політично значущій особі, зокрема: рівень впливу, що особа може ще мати; обсяг повноважень, якими вона була наділена; зв’язок між минулими та чинними повноваженнями тощо.</w:t>
            </w:r>
          </w:p>
        </w:tc>
        <w:tc>
          <w:tcPr>
            <w:tcW w:w="5386" w:type="dxa"/>
            <w:hideMark/>
          </w:tcPr>
          <w:p w14:paraId="53AFFC00"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Після закінчення цього строку суб’єкт первинного фінансового моніторингу повинен продовжувати вживати заходів, визначених пунктами 2—4 цієї частини, з урахуванням вимог абзаців п’ятнадцятого — вісімнадцятого, двадцятого та двадцять першого цієї частини.</w:t>
            </w:r>
          </w:p>
        </w:tc>
        <w:tc>
          <w:tcPr>
            <w:tcW w:w="3038" w:type="dxa"/>
            <w:hideMark/>
          </w:tcPr>
          <w:p w14:paraId="2163604C"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НОВА норма: після спливу 12 місяців заходи не припиняються автоматично; їх продовження визначається з урахуванням наступних положень ч. 14.</w:t>
            </w:r>
          </w:p>
        </w:tc>
      </w:tr>
      <w:tr w:rsidR="007D5AC1" w:rsidRPr="007D5AC1" w14:paraId="150433DD" w14:textId="77777777" w:rsidTr="007D5AC1">
        <w:tc>
          <w:tcPr>
            <w:tcW w:w="5524" w:type="dxa"/>
            <w:hideMark/>
          </w:tcPr>
          <w:p w14:paraId="3D1DA1C6"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w:t>
            </w:r>
          </w:p>
        </w:tc>
        <w:tc>
          <w:tcPr>
            <w:tcW w:w="5386" w:type="dxa"/>
            <w:hideMark/>
          </w:tcPr>
          <w:p w14:paraId="34D401DF"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 xml:space="preserve">При цьому суб’єкт первинного фінансового моніторингу повинен враховувати ризики, що залишаються властивими політично значущій особі, зокрема: рівень впливу, що особа </w:t>
            </w:r>
            <w:r w:rsidRPr="007D5AC1">
              <w:rPr>
                <w:rFonts w:ascii="Times New Roman" w:eastAsia="Times New Roman" w:hAnsi="Times New Roman" w:cs="Times New Roman"/>
                <w:kern w:val="0"/>
                <w:sz w:val="20"/>
                <w:szCs w:val="20"/>
                <w:lang w:eastAsia="ru-RU"/>
                <w14:ligatures w14:val="none"/>
              </w:rPr>
              <w:lastRenderedPageBreak/>
              <w:t>може ще мати; обсяг повноважень, якими вона була наділена; зв’язок між минулими та чинними повноваженнями тощо.</w:t>
            </w:r>
          </w:p>
        </w:tc>
        <w:tc>
          <w:tcPr>
            <w:tcW w:w="3038" w:type="dxa"/>
            <w:hideMark/>
          </w:tcPr>
          <w:p w14:paraId="445892CA"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lastRenderedPageBreak/>
              <w:t xml:space="preserve">У проєкті це положення перенесено після нової норми </w:t>
            </w:r>
            <w:r w:rsidRPr="007D5AC1">
              <w:rPr>
                <w:rFonts w:ascii="Times New Roman" w:eastAsia="Times New Roman" w:hAnsi="Times New Roman" w:cs="Times New Roman"/>
                <w:kern w:val="0"/>
                <w:sz w:val="20"/>
                <w:szCs w:val="20"/>
                <w:lang w:eastAsia="ru-RU"/>
                <w14:ligatures w14:val="none"/>
              </w:rPr>
              <w:lastRenderedPageBreak/>
              <w:t>про 12 місяців. Сам зміст цього абзацу не змінений.</w:t>
            </w:r>
          </w:p>
        </w:tc>
      </w:tr>
      <w:tr w:rsidR="007D5AC1" w:rsidRPr="007D5AC1" w14:paraId="3E275BA1" w14:textId="77777777" w:rsidTr="007D5AC1">
        <w:tc>
          <w:tcPr>
            <w:tcW w:w="5524" w:type="dxa"/>
            <w:hideMark/>
          </w:tcPr>
          <w:p w14:paraId="5D466F03"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lastRenderedPageBreak/>
              <w:t>У разі якщо з дня припинення виконання політично значущою особою визначних публічних функцій минуло більше дванадцяти місяців і фінансові операції, що проводилися такою особою протягом цього часу, становили низький ризик, а також суб’єктом первинного фінансового моніторингу не виявлено ознак, що ділові відносини з такою особою становлять ризики, властиві політично значущим особам, такий суб’єкт первинного фінансового моніторингу не вживає (припиняє вживати) щодо неї заходів, визначених пунктами 2-4 цієї частини.</w:t>
            </w:r>
          </w:p>
        </w:tc>
        <w:tc>
          <w:tcPr>
            <w:tcW w:w="5386" w:type="dxa"/>
            <w:hideMark/>
          </w:tcPr>
          <w:p w14:paraId="721DBC19"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Після спливу не менше дванадцяти місяців з дня припинення виконання особою визначних публічних функцій суб’єкт первинного фінансового моніторингу повинен продовжувати вживати заходів, визначених пунктами 2—4 цієї частини, до моменту встановлення, що ділові відносини з такою особою не становлять ризики, властиві політично значущим особам.</w:t>
            </w:r>
          </w:p>
        </w:tc>
        <w:tc>
          <w:tcPr>
            <w:tcW w:w="3038" w:type="dxa"/>
            <w:hideMark/>
          </w:tcPr>
          <w:p w14:paraId="79C60E81"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Чинний автоматичний критерій припинення заходів змінюється. Проєкт не пов’язує припинення заходів лише з тим, що операції мали низький ризик і не виявлено ознак ризику. Заходи продовжуються до встановлення, що відносини більше не становлять відповідного PEP-ризику.</w:t>
            </w:r>
          </w:p>
        </w:tc>
      </w:tr>
      <w:tr w:rsidR="007D5AC1" w:rsidRPr="007D5AC1" w14:paraId="6B1590C4" w14:textId="77777777" w:rsidTr="007D5AC1">
        <w:tc>
          <w:tcPr>
            <w:tcW w:w="5524" w:type="dxa"/>
            <w:hideMark/>
          </w:tcPr>
          <w:p w14:paraId="06F31791"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w:t>
            </w:r>
          </w:p>
        </w:tc>
        <w:tc>
          <w:tcPr>
            <w:tcW w:w="5386" w:type="dxa"/>
            <w:hideMark/>
          </w:tcPr>
          <w:p w14:paraId="36DBD49E"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Після спливу дванадцяти місяців з дня припинення виконання особою визначних публічних функцій суб'єкт первинного фінансового моніторингу зобов’язаний провести та документально оформити оцінку ризику ділових відносин з такою особою відповідно до частини другої статті 7 цього Закону.</w:t>
            </w:r>
          </w:p>
        </w:tc>
        <w:tc>
          <w:tcPr>
            <w:tcW w:w="3038" w:type="dxa"/>
            <w:hideMark/>
          </w:tcPr>
          <w:p w14:paraId="2A787B0E"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НОВА норма: після 12 місяців СПФМ зобов’язаний провести і документально оформити оцінку ризику за ч. 2 ст. 7.</w:t>
            </w:r>
          </w:p>
        </w:tc>
      </w:tr>
      <w:tr w:rsidR="007D5AC1" w:rsidRPr="007D5AC1" w14:paraId="2DA99E94" w14:textId="77777777" w:rsidTr="007D5AC1">
        <w:tc>
          <w:tcPr>
            <w:tcW w:w="5524" w:type="dxa"/>
            <w:hideMark/>
          </w:tcPr>
          <w:p w14:paraId="355F9063"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w:t>
            </w:r>
          </w:p>
        </w:tc>
        <w:tc>
          <w:tcPr>
            <w:tcW w:w="5386" w:type="dxa"/>
            <w:hideMark/>
          </w:tcPr>
          <w:p w14:paraId="2E32F012"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Якщо за результатами оцінки ризику встановлено, що ділові відносини з особою не становлять ризики, властиві політично значущим особам, застосування заходів, визначених пунктами 2—4 цієї частини, припиняється.</w:t>
            </w:r>
          </w:p>
        </w:tc>
        <w:tc>
          <w:tcPr>
            <w:tcW w:w="3038" w:type="dxa"/>
            <w:hideMark/>
          </w:tcPr>
          <w:p w14:paraId="7330AEAA"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НОВА норма: заходи припиняються, якщо документована оцінка встановила відсутність PEP-ризиків.</w:t>
            </w:r>
          </w:p>
        </w:tc>
      </w:tr>
      <w:tr w:rsidR="007D5AC1" w:rsidRPr="007D5AC1" w14:paraId="38F21321" w14:textId="77777777" w:rsidTr="007D5AC1">
        <w:tc>
          <w:tcPr>
            <w:tcW w:w="5524" w:type="dxa"/>
            <w:hideMark/>
          </w:tcPr>
          <w:p w14:paraId="5F35601E"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w:t>
            </w:r>
          </w:p>
        </w:tc>
        <w:tc>
          <w:tcPr>
            <w:tcW w:w="5386" w:type="dxa"/>
            <w:hideMark/>
          </w:tcPr>
          <w:p w14:paraId="1DB53C43"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Якщо за результатами оцінки ризику встановлено, що ділові відносини з особою продовжують становити ризики, властиві політично значущим особам, суб’єкт первинного фінансового моніторингу здійснює повторну оцінку ризику відповідно до частини другої статті 7 цього Закону періодично, але не рідше ніж один раз на рік.</w:t>
            </w:r>
          </w:p>
        </w:tc>
        <w:tc>
          <w:tcPr>
            <w:tcW w:w="3038" w:type="dxa"/>
            <w:hideMark/>
          </w:tcPr>
          <w:p w14:paraId="4CD59641"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НОВА норма: якщо PEP-ризик зберігається — повторна оцінка не рідше одного разу на рік.</w:t>
            </w:r>
          </w:p>
        </w:tc>
      </w:tr>
      <w:tr w:rsidR="007D5AC1" w:rsidRPr="007D5AC1" w14:paraId="7F9F69F5" w14:textId="77777777" w:rsidTr="007D5AC1">
        <w:tc>
          <w:tcPr>
            <w:tcW w:w="5524" w:type="dxa"/>
            <w:hideMark/>
          </w:tcPr>
          <w:p w14:paraId="39D4B8D3"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w:t>
            </w:r>
          </w:p>
        </w:tc>
        <w:tc>
          <w:tcPr>
            <w:tcW w:w="5386" w:type="dxa"/>
            <w:hideMark/>
          </w:tcPr>
          <w:p w14:paraId="30C33658"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Клієнт має право вимагати у суб’єкта первинного фінансового моніторингу надати їй інформацію у письмовій формі про вжиття щодо неї заходів, передбачених пунктами 2—4 цієї частини, після спливу дванадцяти місяців з дня припинення особою виконання визначних публічних функцій.</w:t>
            </w:r>
          </w:p>
        </w:tc>
        <w:tc>
          <w:tcPr>
            <w:tcW w:w="3038" w:type="dxa"/>
            <w:hideMark/>
          </w:tcPr>
          <w:p w14:paraId="4C089094"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НОВА норма: клієнту надається право вимагати письмову інформацію про застосування заходів після спливу 12 місяців.</w:t>
            </w:r>
          </w:p>
        </w:tc>
      </w:tr>
      <w:tr w:rsidR="007D5AC1" w:rsidRPr="007D5AC1" w14:paraId="7CBEB888" w14:textId="77777777" w:rsidTr="007D5AC1">
        <w:tc>
          <w:tcPr>
            <w:tcW w:w="5524" w:type="dxa"/>
            <w:hideMark/>
          </w:tcPr>
          <w:p w14:paraId="21B0E74C"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 xml:space="preserve">У разі якщо з дня припинення виконання політично значущою особою визначних публічних функцій минуло </w:t>
            </w:r>
            <w:r w:rsidRPr="007D5AC1">
              <w:rPr>
                <w:rFonts w:ascii="Times New Roman" w:eastAsia="Times New Roman" w:hAnsi="Times New Roman" w:cs="Times New Roman"/>
                <w:kern w:val="0"/>
                <w:sz w:val="20"/>
                <w:szCs w:val="20"/>
                <w:lang w:eastAsia="ru-RU"/>
                <w14:ligatures w14:val="none"/>
              </w:rPr>
              <w:lastRenderedPageBreak/>
              <w:t>більше дванадцяти місяців і фінансові операції, що проводилися такою особою протягом цього часу, становили низький ризик, а також суб’єктом первинного фінансового моніторингу не виявлено ознак, що ділові відносини з членами її сім’ї та особами, пов’язаними з нею, становлять ризики, такий суб’єкт первинного фінансового моніторингу не вживає (припиняє вживати) щодо членів сім’ї політично значущої особи та осіб, пов’язаних із нею, заходів, визначених пунктами 2-4 цієї частини.</w:t>
            </w:r>
          </w:p>
        </w:tc>
        <w:tc>
          <w:tcPr>
            <w:tcW w:w="5386" w:type="dxa"/>
            <w:hideMark/>
          </w:tcPr>
          <w:p w14:paraId="1AA61BDD"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lastRenderedPageBreak/>
              <w:t xml:space="preserve">Після спливу дванадцяти місяців з дня припинення особою виконання визначних публічних функцій суб’єкт </w:t>
            </w:r>
            <w:r w:rsidRPr="007D5AC1">
              <w:rPr>
                <w:rFonts w:ascii="Times New Roman" w:eastAsia="Times New Roman" w:hAnsi="Times New Roman" w:cs="Times New Roman"/>
                <w:kern w:val="0"/>
                <w:sz w:val="20"/>
                <w:szCs w:val="20"/>
                <w:lang w:eastAsia="ru-RU"/>
                <w14:ligatures w14:val="none"/>
              </w:rPr>
              <w:lastRenderedPageBreak/>
              <w:t>первинного фінансового моніторингу вживає заходів, визначених пунктами 2—4 цієї частини, до членів сім’ї такої особи та пов’язаних з нею осіб з урахуванням особливостей, визначених абзацами п’ятнадцятим — сімнадцятим цієї частини.</w:t>
            </w:r>
          </w:p>
        </w:tc>
        <w:tc>
          <w:tcPr>
            <w:tcW w:w="3038" w:type="dxa"/>
            <w:hideMark/>
          </w:tcPr>
          <w:p w14:paraId="7187AB2C"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lastRenderedPageBreak/>
              <w:t xml:space="preserve">Змінюється підхід до членів сім’ї та пов’язаних осіб: чинна </w:t>
            </w:r>
            <w:r w:rsidRPr="007D5AC1">
              <w:rPr>
                <w:rFonts w:ascii="Times New Roman" w:eastAsia="Times New Roman" w:hAnsi="Times New Roman" w:cs="Times New Roman"/>
                <w:kern w:val="0"/>
                <w:sz w:val="20"/>
                <w:szCs w:val="20"/>
                <w:lang w:eastAsia="ru-RU"/>
                <w14:ligatures w14:val="none"/>
              </w:rPr>
              <w:lastRenderedPageBreak/>
              <w:t>норма передбачає можливість припинення заходів за певних умов; проєкт прямо передбачає їх застосування після 12 місяців з урахуванням установлених особливостей.</w:t>
            </w:r>
          </w:p>
        </w:tc>
      </w:tr>
      <w:tr w:rsidR="007D5AC1" w:rsidRPr="007D5AC1" w14:paraId="1A9E0BA0" w14:textId="77777777" w:rsidTr="007D5AC1">
        <w:tc>
          <w:tcPr>
            <w:tcW w:w="5524" w:type="dxa"/>
            <w:hideMark/>
          </w:tcPr>
          <w:p w14:paraId="3BBA3BDB"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lastRenderedPageBreak/>
              <w:t>—</w:t>
            </w:r>
          </w:p>
        </w:tc>
        <w:tc>
          <w:tcPr>
            <w:tcW w:w="5386" w:type="dxa"/>
            <w:hideMark/>
          </w:tcPr>
          <w:p w14:paraId="72972389"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Належність особи до категорії політично значущих осіб після спливу дванадцяти місяців з дня припинення виконання нею визначних публічних функцій не може бути єдиною або достатньою підставою для відмови від встановлення (підтримання) ділових відносин із цією особою, членами її сім’ї та особами, пов’язаними з нею.</w:t>
            </w:r>
          </w:p>
        </w:tc>
        <w:tc>
          <w:tcPr>
            <w:tcW w:w="3038" w:type="dxa"/>
            <w:hideMark/>
          </w:tcPr>
          <w:p w14:paraId="2B3B3CF3"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НОВА гарантія: сам факт належності до категорії PEP після 12 місяців не може бути єдиною або достатньою підставою для відмови у ділових відносинах.</w:t>
            </w:r>
          </w:p>
        </w:tc>
      </w:tr>
      <w:tr w:rsidR="007D5AC1" w:rsidRPr="007D5AC1" w14:paraId="48E90F0D" w14:textId="77777777" w:rsidTr="007D5AC1">
        <w:tc>
          <w:tcPr>
            <w:tcW w:w="5524" w:type="dxa"/>
            <w:hideMark/>
          </w:tcPr>
          <w:p w14:paraId="3C30A855"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w:t>
            </w:r>
          </w:p>
        </w:tc>
        <w:tc>
          <w:tcPr>
            <w:tcW w:w="5386" w:type="dxa"/>
            <w:hideMark/>
          </w:tcPr>
          <w:p w14:paraId="31B688FD"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Клієнт має право звернутися до суб’єкта первинного фінансового моніторингу з вимогою про перегляд рішення про відмову у встановленні (підтриманні) ділових відносин.</w:t>
            </w:r>
          </w:p>
        </w:tc>
        <w:tc>
          <w:tcPr>
            <w:tcW w:w="3038" w:type="dxa"/>
            <w:hideMark/>
          </w:tcPr>
          <w:p w14:paraId="42B23005"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НОВА норма: клієнту надається право вимагати перегляду рішення про відмову.</w:t>
            </w:r>
          </w:p>
        </w:tc>
      </w:tr>
      <w:tr w:rsidR="007D5AC1" w:rsidRPr="007D5AC1" w14:paraId="0FB45B6D" w14:textId="77777777" w:rsidTr="007D5AC1">
        <w:tc>
          <w:tcPr>
            <w:tcW w:w="5524" w:type="dxa"/>
            <w:hideMark/>
          </w:tcPr>
          <w:p w14:paraId="2FF33A65"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Страховики, страхові (перестрахові) брокери, крім заходів, передбачених цією частиною, здійснюють також заходи для встановлення факту про те, чи є політично значуща особа вигодонабувачем (вигодоодержувачем) та/або кінцевим бенефіціарним власником вигодонабувача (вигодоодержувача) за договором страхування життя. У разі встановлення факту, що така особа є вигодонабувачем (вигодоодержувачем) та/або кінцевим бенефіціарним власником вигодонабувача (вигодоодержувача), до здійснення страхової виплати за таким договором інформація про такий факт повідомляється керівнику суб’єкта первинного фінансового моніторингу та проводиться на постійній основі моніторинг ділових відносин з таким вигодонабувачем (вигодоодержувачем) з урахуванням рекомендацій відповідного суб’єкта державного фінансового моніторингу, за результатами якого приймається рішення про інформування спеціально уповноваженого органу.</w:t>
            </w:r>
          </w:p>
        </w:tc>
        <w:tc>
          <w:tcPr>
            <w:tcW w:w="5386" w:type="dxa"/>
            <w:hideMark/>
          </w:tcPr>
          <w:p w14:paraId="2113F1E9"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Страховики, страхові (перестрахові) брокери, крім заходів, передбачених цією частиною, здійснюють також заходи для встановлення факту про те, чи є політично значуща особа вигодонабувачем (вигодоодержувачем) та/або кінцевим бенефіціарним власником вигодонабувача (вигодоодержувача) за договором страхування життя. У разі встановлення факту, що така особа є вигодонабувачем (вигодоодержувачем) та/або кінцевим бенефіціарним власником вигодонабувача (вигодоодержувача), до здійснення страхової виплати за таким договором інформація про такий факт повідомляється керівнику суб’єкта первинного фінансового моніторингу та проводиться на постійній основі моніторинг ділових відносин з таким вигодонабувачем (вигодоодержувачем) з урахуванням рекомендацій відповідного суб’єкта державного фінансового моніторингу, за результатами якого приймається рішення про інформування спеціально уповноваженого органу.</w:t>
            </w:r>
          </w:p>
        </w:tc>
        <w:tc>
          <w:tcPr>
            <w:tcW w:w="3038" w:type="dxa"/>
            <w:hideMark/>
          </w:tcPr>
          <w:p w14:paraId="15343A7C" w14:textId="77777777" w:rsidR="007D5AC1" w:rsidRPr="007D5AC1" w:rsidRDefault="007D5AC1" w:rsidP="007D5AC1">
            <w:pPr>
              <w:rPr>
                <w:rFonts w:ascii="Times New Roman" w:eastAsia="Times New Roman" w:hAnsi="Times New Roman" w:cs="Times New Roman"/>
                <w:kern w:val="0"/>
                <w:sz w:val="20"/>
                <w:szCs w:val="20"/>
                <w:lang w:eastAsia="ru-RU"/>
                <w14:ligatures w14:val="none"/>
              </w:rPr>
            </w:pPr>
            <w:r w:rsidRPr="007D5AC1">
              <w:rPr>
                <w:rFonts w:ascii="Times New Roman" w:eastAsia="Times New Roman" w:hAnsi="Times New Roman" w:cs="Times New Roman"/>
                <w:kern w:val="0"/>
                <w:sz w:val="20"/>
                <w:szCs w:val="20"/>
                <w:lang w:eastAsia="ru-RU"/>
                <w14:ligatures w14:val="none"/>
              </w:rPr>
              <w:t>Без змін.</w:t>
            </w:r>
          </w:p>
        </w:tc>
      </w:tr>
    </w:tbl>
    <w:p w14:paraId="3693EAE4" w14:textId="77777777" w:rsidR="007335FE" w:rsidRDefault="007335FE"/>
    <w:sectPr w:rsidR="007335FE" w:rsidSect="007D5A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AC1"/>
    <w:rsid w:val="001801C9"/>
    <w:rsid w:val="007335FE"/>
    <w:rsid w:val="007D5AC1"/>
    <w:rsid w:val="00885213"/>
    <w:rsid w:val="00D42E5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49898"/>
  <w15:chartTrackingRefBased/>
  <w15:docId w15:val="{DFB80942-254F-6C4D-A5F4-30115EBFB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ru-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5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D5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autoRedefine/>
    <w:uiPriority w:val="9"/>
    <w:unhideWhenUsed/>
    <w:qFormat/>
    <w:rsid w:val="007335FE"/>
    <w:pPr>
      <w:keepNext/>
      <w:keepLines/>
      <w:spacing w:before="280" w:after="80" w:line="259" w:lineRule="auto"/>
      <w:jc w:val="center"/>
      <w:outlineLvl w:val="2"/>
    </w:pPr>
    <w:rPr>
      <w:rFonts w:ascii="Georgia" w:eastAsia="Calibri" w:hAnsi="Georgia" w:cs="Calibri"/>
      <w:b/>
      <w:i/>
      <w:kern w:val="0"/>
      <w:sz w:val="28"/>
      <w:szCs w:val="28"/>
      <w:lang w:val="uk-UA" w:eastAsia="ru-RU"/>
      <w14:ligatures w14:val="none"/>
    </w:rPr>
  </w:style>
  <w:style w:type="paragraph" w:styleId="4">
    <w:name w:val="heading 4"/>
    <w:basedOn w:val="a"/>
    <w:next w:val="a"/>
    <w:link w:val="40"/>
    <w:uiPriority w:val="9"/>
    <w:semiHidden/>
    <w:unhideWhenUsed/>
    <w:qFormat/>
    <w:rsid w:val="007D5AC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D5A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5AC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D5AC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D5AC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D5AC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335FE"/>
    <w:rPr>
      <w:rFonts w:ascii="Georgia" w:eastAsia="Calibri" w:hAnsi="Georgia" w:cs="Calibri"/>
      <w:b/>
      <w:i/>
      <w:kern w:val="0"/>
      <w:sz w:val="28"/>
      <w:szCs w:val="28"/>
      <w:lang w:val="uk-UA" w:eastAsia="ru-RU"/>
      <w14:ligatures w14:val="none"/>
    </w:rPr>
  </w:style>
  <w:style w:type="character" w:customStyle="1" w:styleId="10">
    <w:name w:val="Заголовок 1 Знак"/>
    <w:basedOn w:val="a0"/>
    <w:link w:val="1"/>
    <w:uiPriority w:val="9"/>
    <w:rsid w:val="007D5AC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D5AC1"/>
    <w:rPr>
      <w:rFonts w:asciiTheme="majorHAnsi" w:eastAsiaTheme="majorEastAsia" w:hAnsiTheme="majorHAnsi" w:cstheme="majorBidi"/>
      <w:color w:val="0F4761" w:themeColor="accent1" w:themeShade="BF"/>
      <w:sz w:val="32"/>
      <w:szCs w:val="32"/>
    </w:rPr>
  </w:style>
  <w:style w:type="character" w:customStyle="1" w:styleId="40">
    <w:name w:val="Заголовок 4 Знак"/>
    <w:basedOn w:val="a0"/>
    <w:link w:val="4"/>
    <w:uiPriority w:val="9"/>
    <w:semiHidden/>
    <w:rsid w:val="007D5AC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D5AC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D5AC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D5AC1"/>
    <w:rPr>
      <w:rFonts w:eastAsiaTheme="majorEastAsia" w:cstheme="majorBidi"/>
      <w:color w:val="595959" w:themeColor="text1" w:themeTint="A6"/>
    </w:rPr>
  </w:style>
  <w:style w:type="character" w:customStyle="1" w:styleId="80">
    <w:name w:val="Заголовок 8 Знак"/>
    <w:basedOn w:val="a0"/>
    <w:link w:val="8"/>
    <w:uiPriority w:val="9"/>
    <w:semiHidden/>
    <w:rsid w:val="007D5AC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D5AC1"/>
    <w:rPr>
      <w:rFonts w:eastAsiaTheme="majorEastAsia" w:cstheme="majorBidi"/>
      <w:color w:val="272727" w:themeColor="text1" w:themeTint="D8"/>
    </w:rPr>
  </w:style>
  <w:style w:type="paragraph" w:styleId="a3">
    <w:name w:val="Title"/>
    <w:basedOn w:val="a"/>
    <w:next w:val="a"/>
    <w:link w:val="a4"/>
    <w:uiPriority w:val="10"/>
    <w:qFormat/>
    <w:rsid w:val="007D5AC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5A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5AC1"/>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D5AC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D5AC1"/>
    <w:pPr>
      <w:spacing w:before="160" w:after="160"/>
      <w:jc w:val="center"/>
    </w:pPr>
    <w:rPr>
      <w:i/>
      <w:iCs/>
      <w:color w:val="404040" w:themeColor="text1" w:themeTint="BF"/>
    </w:rPr>
  </w:style>
  <w:style w:type="character" w:customStyle="1" w:styleId="22">
    <w:name w:val="Цитата 2 Знак"/>
    <w:basedOn w:val="a0"/>
    <w:link w:val="21"/>
    <w:uiPriority w:val="29"/>
    <w:rsid w:val="007D5AC1"/>
    <w:rPr>
      <w:i/>
      <w:iCs/>
      <w:color w:val="404040" w:themeColor="text1" w:themeTint="BF"/>
    </w:rPr>
  </w:style>
  <w:style w:type="paragraph" w:styleId="a7">
    <w:name w:val="List Paragraph"/>
    <w:basedOn w:val="a"/>
    <w:uiPriority w:val="34"/>
    <w:qFormat/>
    <w:rsid w:val="007D5AC1"/>
    <w:pPr>
      <w:ind w:left="720"/>
      <w:contextualSpacing/>
    </w:pPr>
  </w:style>
  <w:style w:type="character" w:styleId="a8">
    <w:name w:val="Intense Emphasis"/>
    <w:basedOn w:val="a0"/>
    <w:uiPriority w:val="21"/>
    <w:qFormat/>
    <w:rsid w:val="007D5AC1"/>
    <w:rPr>
      <w:i/>
      <w:iCs/>
      <w:color w:val="0F4761" w:themeColor="accent1" w:themeShade="BF"/>
    </w:rPr>
  </w:style>
  <w:style w:type="paragraph" w:styleId="a9">
    <w:name w:val="Intense Quote"/>
    <w:basedOn w:val="a"/>
    <w:next w:val="a"/>
    <w:link w:val="aa"/>
    <w:uiPriority w:val="30"/>
    <w:qFormat/>
    <w:rsid w:val="007D5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D5AC1"/>
    <w:rPr>
      <w:i/>
      <w:iCs/>
      <w:color w:val="0F4761" w:themeColor="accent1" w:themeShade="BF"/>
    </w:rPr>
  </w:style>
  <w:style w:type="character" w:styleId="ab">
    <w:name w:val="Intense Reference"/>
    <w:basedOn w:val="a0"/>
    <w:uiPriority w:val="32"/>
    <w:qFormat/>
    <w:rsid w:val="007D5AC1"/>
    <w:rPr>
      <w:b/>
      <w:bCs/>
      <w:smallCaps/>
      <w:color w:val="0F4761" w:themeColor="accent1" w:themeShade="BF"/>
      <w:spacing w:val="5"/>
    </w:rPr>
  </w:style>
  <w:style w:type="character" w:styleId="ac">
    <w:name w:val="Strong"/>
    <w:basedOn w:val="a0"/>
    <w:uiPriority w:val="22"/>
    <w:qFormat/>
    <w:rsid w:val="007D5AC1"/>
    <w:rPr>
      <w:b/>
      <w:bCs/>
    </w:rPr>
  </w:style>
  <w:style w:type="table" w:styleId="ad">
    <w:name w:val="Grid Table Light"/>
    <w:basedOn w:val="a1"/>
    <w:uiPriority w:val="40"/>
    <w:rsid w:val="007D5AC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2148</Words>
  <Characters>12250</Characters>
  <Application>Microsoft Office Word</Application>
  <DocSecurity>0</DocSecurity>
  <Lines>102</Lines>
  <Paragraphs>28</Paragraphs>
  <ScaleCrop>false</ScaleCrop>
  <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 Герасимюк</dc:creator>
  <cp:keywords/>
  <dc:description/>
  <cp:lastModifiedBy>Павел Герасимюк</cp:lastModifiedBy>
  <cp:revision>1</cp:revision>
  <dcterms:created xsi:type="dcterms:W3CDTF">2026-09-09T07:39:00Z</dcterms:created>
  <dcterms:modified xsi:type="dcterms:W3CDTF">2026-09-09T07:41:00Z</dcterms:modified>
</cp:coreProperties>
</file>