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831D84">
      <w:pPr>
        <w:pStyle w:val="a3"/>
        <w:jc w:val="center"/>
        <w:rPr>
          <w:sz w:val="36"/>
          <w:szCs w:val="36"/>
        </w:rPr>
      </w:pPr>
      <w:r>
        <w:rPr>
          <w:noProof/>
          <w:sz w:val="36"/>
          <w:szCs w:val="36"/>
        </w:rPr>
        <w:drawing>
          <wp:inline distT="0" distB="0" distL="0" distR="0">
            <wp:extent cx="666750" cy="914400"/>
            <wp:effectExtent l="19050" t="0" r="0" b="0"/>
            <wp:docPr id="1" name="Рисунок 1" descr="C:\Users\n.goncharuk\AppData\Roaming\Liga70\Client\Session\TSIG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goncharuk\AppData\Roaming\Liga70\Client\Session\TSIGN.GIF"/>
                    <pic:cNvPicPr>
                      <a:picLocks noChangeAspect="1" noChangeArrowheads="1"/>
                    </pic:cNvPicPr>
                  </pic:nvPicPr>
                  <pic:blipFill>
                    <a:blip r:link="rId4"/>
                    <a:srcRect/>
                    <a:stretch>
                      <a:fillRect/>
                    </a:stretch>
                  </pic:blipFill>
                  <pic:spPr bwMode="auto">
                    <a:xfrm>
                      <a:off x="0" y="0"/>
                      <a:ext cx="666750" cy="914400"/>
                    </a:xfrm>
                    <a:prstGeom prst="rect">
                      <a:avLst/>
                    </a:prstGeom>
                    <a:noFill/>
                    <a:ln w="9525">
                      <a:noFill/>
                      <a:miter lim="800000"/>
                      <a:headEnd/>
                      <a:tailEnd/>
                    </a:ln>
                  </pic:spPr>
                </pic:pic>
              </a:graphicData>
            </a:graphic>
          </wp:inline>
        </w:drawing>
      </w:r>
    </w:p>
    <w:p w:rsidR="00000000" w:rsidRDefault="00831D84">
      <w:pPr>
        <w:pStyle w:val="a3"/>
        <w:jc w:val="center"/>
      </w:pPr>
      <w:r>
        <w:rPr>
          <w:b/>
          <w:bCs/>
        </w:rPr>
        <w:t>НАЦІОНАЛЬНИЙ БАНК УКРАЇНИ</w:t>
      </w:r>
    </w:p>
    <w:p w:rsidR="00000000" w:rsidRDefault="00831D84">
      <w:pPr>
        <w:pStyle w:val="2"/>
        <w:jc w:val="center"/>
        <w:rPr>
          <w:rFonts w:eastAsia="Times New Roman"/>
        </w:rPr>
      </w:pPr>
      <w:r>
        <w:rPr>
          <w:rFonts w:eastAsia="Times New Roman"/>
        </w:rPr>
        <w:t>ЛИСТ</w:t>
      </w:r>
    </w:p>
    <w:p w:rsidR="00000000" w:rsidRDefault="00831D84">
      <w:pPr>
        <w:pStyle w:val="a3"/>
        <w:jc w:val="center"/>
      </w:pPr>
      <w:r>
        <w:rPr>
          <w:b/>
          <w:bCs/>
          <w:sz w:val="36"/>
          <w:szCs w:val="36"/>
        </w:rPr>
        <w:t>від 18.03.2015 р. N 24-00011/17762</w:t>
      </w:r>
    </w:p>
    <w:tbl>
      <w:tblPr>
        <w:tblW w:w="4500" w:type="pct"/>
        <w:jc w:val="center"/>
        <w:tblCellSpacing w:w="22" w:type="dxa"/>
        <w:tblCellMar>
          <w:top w:w="30" w:type="dxa"/>
          <w:left w:w="30" w:type="dxa"/>
          <w:bottom w:w="30" w:type="dxa"/>
          <w:right w:w="30" w:type="dxa"/>
        </w:tblCellMar>
        <w:tblLook w:val="04A0"/>
      </w:tblPr>
      <w:tblGrid>
        <w:gridCol w:w="4404"/>
        <w:gridCol w:w="4404"/>
      </w:tblGrid>
      <w:tr w:rsidR="00000000">
        <w:trPr>
          <w:tblCellSpacing w:w="22" w:type="dxa"/>
          <w:jc w:val="center"/>
        </w:trPr>
        <w:tc>
          <w:tcPr>
            <w:tcW w:w="2500" w:type="pct"/>
            <w:hideMark/>
          </w:tcPr>
          <w:p w:rsidR="00000000" w:rsidRDefault="00831D84">
            <w:pPr>
              <w:pStyle w:val="a3"/>
            </w:pPr>
            <w:r>
              <w:rPr>
                <w:sz w:val="36"/>
                <w:szCs w:val="36"/>
              </w:rPr>
              <w:t>Департамент реєстраційних питань та ліцензування</w:t>
            </w:r>
          </w:p>
        </w:tc>
        <w:tc>
          <w:tcPr>
            <w:tcW w:w="2500" w:type="pct"/>
            <w:hideMark/>
          </w:tcPr>
          <w:p w:rsidR="00000000" w:rsidRDefault="00831D84">
            <w:pPr>
              <w:pStyle w:val="a3"/>
            </w:pPr>
            <w:r>
              <w:rPr>
                <w:sz w:val="36"/>
                <w:szCs w:val="36"/>
              </w:rPr>
              <w:t>Банкам України</w:t>
            </w:r>
          </w:p>
        </w:tc>
      </w:tr>
    </w:tbl>
    <w:p w:rsidR="00000000" w:rsidRDefault="00831D84">
      <w:pPr>
        <w:pStyle w:val="a3"/>
        <w:jc w:val="center"/>
      </w:pPr>
      <w:r>
        <w:br w:type="textWrapping" w:clear="all"/>
      </w:r>
    </w:p>
    <w:p w:rsidR="00000000" w:rsidRDefault="00831D84">
      <w:pPr>
        <w:pStyle w:val="2"/>
        <w:jc w:val="center"/>
        <w:rPr>
          <w:rFonts w:eastAsia="Times New Roman"/>
        </w:rPr>
      </w:pPr>
      <w:r>
        <w:rPr>
          <w:rFonts w:eastAsia="Times New Roman"/>
        </w:rPr>
        <w:t>Про зміни до Постанови N 306</w:t>
      </w:r>
    </w:p>
    <w:p w:rsidR="00000000" w:rsidRDefault="00831D84">
      <w:pPr>
        <w:pStyle w:val="a3"/>
        <w:jc w:val="both"/>
        <w:rPr>
          <w:sz w:val="36"/>
          <w:szCs w:val="36"/>
        </w:rPr>
      </w:pPr>
      <w:r>
        <w:rPr>
          <w:sz w:val="36"/>
          <w:szCs w:val="36"/>
        </w:rPr>
        <w:t xml:space="preserve">Відповідно до </w:t>
      </w:r>
      <w:r>
        <w:rPr>
          <w:color w:val="0000FF"/>
          <w:sz w:val="36"/>
          <w:szCs w:val="36"/>
        </w:rPr>
        <w:t>постанови Правління Національного банку України від 05.03.2015 N 164 "Про затвердження Змін до Положення про порядок реєстрації та ліцензування банків, відкриття відокремлених підрозділів"</w:t>
      </w:r>
      <w:r>
        <w:rPr>
          <w:sz w:val="36"/>
          <w:szCs w:val="36"/>
        </w:rPr>
        <w:t xml:space="preserve"> з глави 5 розділу III Положення про порядок реєстрації та ліцензува</w:t>
      </w:r>
      <w:r>
        <w:rPr>
          <w:sz w:val="36"/>
          <w:szCs w:val="36"/>
        </w:rPr>
        <w:t xml:space="preserve">ння банків, відкриття відокремлених підрозділів, затвердженого </w:t>
      </w:r>
      <w:r>
        <w:rPr>
          <w:color w:val="0000FF"/>
          <w:sz w:val="36"/>
          <w:szCs w:val="36"/>
        </w:rPr>
        <w:t>постановою Правління Національного банку України від 08.09.2011 N 306</w:t>
      </w:r>
      <w:r>
        <w:rPr>
          <w:sz w:val="36"/>
          <w:szCs w:val="36"/>
        </w:rPr>
        <w:t xml:space="preserve"> (далі - Положення N 306), вилучено пункт, яким передбачалося подання банками до Національного банку України:</w:t>
      </w:r>
    </w:p>
    <w:p w:rsidR="00000000" w:rsidRDefault="00831D84">
      <w:pPr>
        <w:pStyle w:val="a3"/>
        <w:jc w:val="both"/>
        <w:rPr>
          <w:sz w:val="36"/>
          <w:szCs w:val="36"/>
        </w:rPr>
      </w:pPr>
      <w:r>
        <w:rPr>
          <w:sz w:val="36"/>
          <w:szCs w:val="36"/>
        </w:rPr>
        <w:t>повідомлень пр</w:t>
      </w:r>
      <w:r>
        <w:rPr>
          <w:sz w:val="36"/>
          <w:szCs w:val="36"/>
        </w:rPr>
        <w:t>о зміни організаційної структури банку та кадрові зміни в складі керівників банку і керівників підрозділів, які відповідають за надання банківських та інших фінансових послуг, протягом трьох робочих днів після внесення змін;</w:t>
      </w:r>
    </w:p>
    <w:p w:rsidR="00000000" w:rsidRDefault="00831D84">
      <w:pPr>
        <w:pStyle w:val="a3"/>
        <w:jc w:val="both"/>
        <w:rPr>
          <w:sz w:val="36"/>
          <w:szCs w:val="36"/>
        </w:rPr>
      </w:pPr>
      <w:r>
        <w:rPr>
          <w:sz w:val="36"/>
          <w:szCs w:val="36"/>
        </w:rPr>
        <w:t>змінених та/або нових внутрішні</w:t>
      </w:r>
      <w:r>
        <w:rPr>
          <w:sz w:val="36"/>
          <w:szCs w:val="36"/>
        </w:rPr>
        <w:t>х положень (у разі внесення змін до тих, які подавалися банком під час отримання банківської ліцензії або повідомлення про початок нового виду діяльності, або надання нового виду фінансових послуг) у двотижневий строк із дня їх затвердження уповноваженим о</w:t>
      </w:r>
      <w:r>
        <w:rPr>
          <w:sz w:val="36"/>
          <w:szCs w:val="36"/>
        </w:rPr>
        <w:t>рганом банку.</w:t>
      </w:r>
    </w:p>
    <w:p w:rsidR="00000000" w:rsidRDefault="00831D84">
      <w:pPr>
        <w:pStyle w:val="a3"/>
        <w:jc w:val="both"/>
        <w:rPr>
          <w:sz w:val="36"/>
          <w:szCs w:val="36"/>
        </w:rPr>
      </w:pPr>
      <w:r>
        <w:rPr>
          <w:sz w:val="36"/>
          <w:szCs w:val="36"/>
        </w:rPr>
        <w:t>З огляду на зазначене, з дати офіційного опублікування вищезазначених Змін, а саме з 06.03.2015, повідомлення банків про зміни організаційної структури та кадрові зміни в складі керівників банку і керівників підрозділів, які відповідають за н</w:t>
      </w:r>
      <w:r>
        <w:rPr>
          <w:sz w:val="36"/>
          <w:szCs w:val="36"/>
        </w:rPr>
        <w:t>адання банківських та інших фінансових послуг, а також змінені та/або нові внутрішні положення банків до Національного банку України не подаються.</w:t>
      </w:r>
    </w:p>
    <w:p w:rsidR="00000000" w:rsidRDefault="00831D84">
      <w:pPr>
        <w:pStyle w:val="a3"/>
        <w:jc w:val="both"/>
        <w:rPr>
          <w:sz w:val="36"/>
          <w:szCs w:val="36"/>
        </w:rPr>
      </w:pPr>
      <w:r>
        <w:rPr>
          <w:sz w:val="36"/>
          <w:szCs w:val="36"/>
        </w:rPr>
        <w:t xml:space="preserve">Одночасно звертаємо увагу на те, що згідно з вимогами </w:t>
      </w:r>
      <w:r>
        <w:rPr>
          <w:color w:val="0000FF"/>
          <w:sz w:val="36"/>
          <w:szCs w:val="36"/>
        </w:rPr>
        <w:t>пункту 3.1 глави 3 розділу VII Положення N 306</w:t>
      </w:r>
      <w:r>
        <w:rPr>
          <w:sz w:val="36"/>
          <w:szCs w:val="36"/>
        </w:rPr>
        <w:t xml:space="preserve"> банки зо</w:t>
      </w:r>
      <w:r>
        <w:rPr>
          <w:sz w:val="36"/>
          <w:szCs w:val="36"/>
        </w:rPr>
        <w:t xml:space="preserve">бов'язані протягом трьох робочих днів із дня настання змін електронною поштою або факсом повідомити Національний банк про зміну голови правління, головного бухгалтера, їх заступників, членів правління, керівника підрозділу внутрішнього аудиту, працівника, </w:t>
      </w:r>
      <w:r>
        <w:rPr>
          <w:sz w:val="36"/>
          <w:szCs w:val="36"/>
        </w:rPr>
        <w:t>відповідального за проведення фінансового моніторингу, та осіб, що виконують їх обов'язки, номерів їх телефонів, факсу.</w:t>
      </w:r>
    </w:p>
    <w:p w:rsidR="00000000" w:rsidRDefault="00831D84">
      <w:pPr>
        <w:pStyle w:val="a3"/>
        <w:jc w:val="both"/>
      </w:pPr>
      <w:r>
        <w:rPr>
          <w:sz w:val="36"/>
          <w:szCs w:val="36"/>
        </w:rPr>
        <w:t> </w:t>
      </w:r>
    </w:p>
    <w:tbl>
      <w:tblPr>
        <w:tblW w:w="5000" w:type="pct"/>
        <w:tblCellSpacing w:w="22" w:type="dxa"/>
        <w:tblCellMar>
          <w:top w:w="30" w:type="dxa"/>
          <w:left w:w="30" w:type="dxa"/>
          <w:bottom w:w="30" w:type="dxa"/>
          <w:right w:w="30" w:type="dxa"/>
        </w:tblCellMar>
        <w:tblLook w:val="04A0"/>
      </w:tblPr>
      <w:tblGrid>
        <w:gridCol w:w="4893"/>
        <w:gridCol w:w="4894"/>
      </w:tblGrid>
      <w:tr w:rsidR="00000000">
        <w:trPr>
          <w:tblCellSpacing w:w="22" w:type="dxa"/>
        </w:trPr>
        <w:tc>
          <w:tcPr>
            <w:tcW w:w="2500" w:type="pct"/>
            <w:hideMark/>
          </w:tcPr>
          <w:p w:rsidR="00000000" w:rsidRDefault="00831D84">
            <w:pPr>
              <w:pStyle w:val="a3"/>
              <w:jc w:val="center"/>
            </w:pPr>
            <w:r>
              <w:rPr>
                <w:b/>
                <w:bCs/>
                <w:sz w:val="36"/>
                <w:szCs w:val="36"/>
              </w:rPr>
              <w:t>Директор Департаменту</w:t>
            </w:r>
            <w:r>
              <w:rPr>
                <w:sz w:val="36"/>
                <w:szCs w:val="36"/>
              </w:rPr>
              <w:br/>
            </w:r>
            <w:r>
              <w:rPr>
                <w:b/>
                <w:bCs/>
                <w:sz w:val="36"/>
                <w:szCs w:val="36"/>
              </w:rPr>
              <w:t>реєстраційних питань</w:t>
            </w:r>
            <w:r>
              <w:rPr>
                <w:sz w:val="36"/>
                <w:szCs w:val="36"/>
              </w:rPr>
              <w:br/>
            </w:r>
            <w:r>
              <w:rPr>
                <w:b/>
                <w:bCs/>
                <w:sz w:val="36"/>
                <w:szCs w:val="36"/>
              </w:rPr>
              <w:t>та ліцензування</w:t>
            </w:r>
          </w:p>
        </w:tc>
        <w:tc>
          <w:tcPr>
            <w:tcW w:w="2500" w:type="pct"/>
            <w:vAlign w:val="bottom"/>
            <w:hideMark/>
          </w:tcPr>
          <w:p w:rsidR="00000000" w:rsidRDefault="00831D84">
            <w:pPr>
              <w:pStyle w:val="a3"/>
              <w:jc w:val="center"/>
            </w:pPr>
            <w:r>
              <w:rPr>
                <w:b/>
                <w:bCs/>
                <w:sz w:val="36"/>
                <w:szCs w:val="36"/>
              </w:rPr>
              <w:t>Л. В. Антоненко</w:t>
            </w:r>
          </w:p>
        </w:tc>
      </w:tr>
    </w:tbl>
    <w:p w:rsidR="00000000" w:rsidRDefault="00831D84">
      <w:pPr>
        <w:pStyle w:val="a3"/>
        <w:jc w:val="both"/>
      </w:pPr>
      <w:r>
        <w:br w:type="textWrapping" w:clear="all"/>
      </w:r>
    </w:p>
    <w:p w:rsidR="00000000" w:rsidRDefault="00831D84">
      <w:pPr>
        <w:pStyle w:val="a3"/>
        <w:jc w:val="both"/>
      </w:pPr>
      <w:r>
        <w:rPr>
          <w:sz w:val="36"/>
          <w:szCs w:val="36"/>
        </w:rPr>
        <w:t> </w:t>
      </w:r>
    </w:p>
    <w:tbl>
      <w:tblPr>
        <w:tblW w:w="5000" w:type="pct"/>
        <w:tblCellSpacing w:w="15" w:type="dxa"/>
        <w:tblCellMar>
          <w:top w:w="15" w:type="dxa"/>
          <w:left w:w="15" w:type="dxa"/>
          <w:bottom w:w="15" w:type="dxa"/>
          <w:right w:w="15" w:type="dxa"/>
        </w:tblCellMar>
        <w:tblLook w:val="04A0"/>
      </w:tblPr>
      <w:tblGrid>
        <w:gridCol w:w="8514"/>
        <w:gridCol w:w="1215"/>
      </w:tblGrid>
      <w:tr w:rsidR="00000000">
        <w:trPr>
          <w:tblCellSpacing w:w="15" w:type="dxa"/>
        </w:trPr>
        <w:tc>
          <w:tcPr>
            <w:tcW w:w="4500" w:type="pct"/>
            <w:vAlign w:val="center"/>
            <w:hideMark/>
          </w:tcPr>
          <w:p w:rsidR="00000000" w:rsidRDefault="00831D84">
            <w:pPr>
              <w:rPr>
                <w:rFonts w:eastAsia="Times New Roman"/>
              </w:rPr>
            </w:pPr>
            <w:r>
              <w:rPr>
                <w:rFonts w:eastAsia="Times New Roman"/>
              </w:rPr>
              <w:t>© ТОВ "Інформаційно-аналітичний центр "ЛІГА", 2015</w:t>
            </w:r>
            <w:r>
              <w:rPr>
                <w:rFonts w:eastAsia="Times New Roman"/>
              </w:rPr>
              <w:br/>
              <w:t>© ТОВ "ЛІГА ЗАКОН", 2015</w:t>
            </w:r>
          </w:p>
        </w:tc>
        <w:tc>
          <w:tcPr>
            <w:tcW w:w="500" w:type="pct"/>
            <w:vAlign w:val="center"/>
            <w:hideMark/>
          </w:tcPr>
          <w:p w:rsidR="00000000" w:rsidRDefault="00831D84">
            <w:pPr>
              <w:rPr>
                <w:rFonts w:eastAsia="Times New Roman"/>
              </w:rPr>
            </w:pPr>
            <w:r>
              <w:rPr>
                <w:rFonts w:eastAsia="Times New Roman"/>
                <w:noProof/>
              </w:rPr>
              <w:drawing>
                <wp:inline distT="0" distB="0" distL="0" distR="0">
                  <wp:extent cx="695325" cy="314325"/>
                  <wp:effectExtent l="19050" t="0" r="9525" b="0"/>
                  <wp:docPr id="2" name="Рисунок 2" descr="C:\Users\n.goncharuk\AppData\Roaming\Liga70\Client\Session\LOGOTYP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goncharuk\AppData\Roaming\Liga70\Client\Session\LOGOTYPE.BMP"/>
                          <pic:cNvPicPr>
                            <a:picLocks noChangeAspect="1" noChangeArrowheads="1"/>
                          </pic:cNvPicPr>
                        </pic:nvPicPr>
                        <pic:blipFill>
                          <a:blip r:link="rId5"/>
                          <a:srcRect/>
                          <a:stretch>
                            <a:fillRect/>
                          </a:stretch>
                        </pic:blipFill>
                        <pic:spPr bwMode="auto">
                          <a:xfrm>
                            <a:off x="0" y="0"/>
                            <a:ext cx="695325" cy="314325"/>
                          </a:xfrm>
                          <a:prstGeom prst="rect">
                            <a:avLst/>
                          </a:prstGeom>
                          <a:noFill/>
                          <a:ln w="9525">
                            <a:noFill/>
                            <a:miter lim="800000"/>
                            <a:headEnd/>
                            <a:tailEnd/>
                          </a:ln>
                        </pic:spPr>
                      </pic:pic>
                    </a:graphicData>
                  </a:graphic>
                </wp:inline>
              </w:drawing>
            </w:r>
          </w:p>
        </w:tc>
      </w:tr>
    </w:tbl>
    <w:p w:rsidR="00831D84" w:rsidRDefault="00831D84">
      <w:pPr>
        <w:rPr>
          <w:rFonts w:eastAsia="Times New Roman"/>
        </w:rPr>
      </w:pPr>
    </w:p>
    <w:sectPr w:rsidR="00831D84">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20"/>
  <w:defaultTabStop w:val="708"/>
  <w:hyphenationZone w:val="425"/>
  <w:noPunctuationKerning/>
  <w:characterSpacingControl w:val="doNotCompress"/>
  <w:compat/>
  <w:rsids>
    <w:rsidRoot w:val="006F079A"/>
    <w:rsid w:val="00463838"/>
    <w:rsid w:val="006F079A"/>
    <w:rsid w:val="00831D84"/>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uk-UA" w:eastAsia="uk-U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sz w:val="24"/>
      <w:szCs w:val="24"/>
    </w:rPr>
  </w:style>
  <w:style w:type="paragraph" w:styleId="2">
    <w:name w:val="heading 2"/>
    <w:basedOn w:val="a"/>
    <w:link w:val="20"/>
    <w:uiPriority w:val="9"/>
    <w:qFormat/>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pPr>
      <w:spacing w:before="100" w:beforeAutospacing="1" w:after="100" w:afterAutospacing="1"/>
    </w:pPr>
  </w:style>
  <w:style w:type="character" w:customStyle="1" w:styleId="20">
    <w:name w:val="Заголовок 2 Знак"/>
    <w:basedOn w:val="a0"/>
    <w:link w:val="2"/>
    <w:uiPriority w:val="9"/>
    <w:semiHidden/>
    <w:rPr>
      <w:rFonts w:asciiTheme="majorHAnsi" w:eastAsiaTheme="majorEastAsia" w:hAnsiTheme="majorHAnsi" w:cstheme="majorBidi"/>
      <w:b/>
      <w:bCs/>
      <w:color w:val="4F81BD" w:themeColor="accent1"/>
      <w:sz w:val="26"/>
      <w:szCs w:val="26"/>
    </w:rPr>
  </w:style>
  <w:style w:type="paragraph" w:styleId="a4">
    <w:name w:val="Balloon Text"/>
    <w:basedOn w:val="a"/>
    <w:link w:val="a5"/>
    <w:uiPriority w:val="99"/>
    <w:semiHidden/>
    <w:unhideWhenUsed/>
    <w:rsid w:val="00463838"/>
    <w:rPr>
      <w:rFonts w:ascii="Tahoma" w:hAnsi="Tahoma" w:cs="Tahoma"/>
      <w:sz w:val="16"/>
      <w:szCs w:val="16"/>
    </w:rPr>
  </w:style>
  <w:style w:type="character" w:customStyle="1" w:styleId="a5">
    <w:name w:val="Текст выноски Знак"/>
    <w:basedOn w:val="a0"/>
    <w:link w:val="a4"/>
    <w:uiPriority w:val="99"/>
    <w:semiHidden/>
    <w:rsid w:val="00463838"/>
    <w:rPr>
      <w:rFonts w:ascii="Tahoma" w:eastAsiaTheme="minorEastAsi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file:///C:\Users\n.goncharuk\AppData\Roaming\Liga70\Client\Session\LOGOTYPE.BMP" TargetMode="External"/><Relationship Id="rId4" Type="http://schemas.openxmlformats.org/officeDocument/2006/relationships/image" Target="file:///C:\Users\n.goncharuk\AppData\Roaming\Liga70\Client\Session\TSIGN.GI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1434</Words>
  <Characters>818</Characters>
  <Application>Microsoft Office Word</Application>
  <DocSecurity>0</DocSecurity>
  <Lines>6</Lines>
  <Paragraphs>4</Paragraphs>
  <ScaleCrop>false</ScaleCrop>
  <Company>Grizli777</Company>
  <LinksUpToDate>false</LinksUpToDate>
  <CharactersWithSpaces>2248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Гончарук Наталья</dc:creator>
  <cp:lastModifiedBy>Гончарук Наталья</cp:lastModifiedBy>
  <cp:revision>2</cp:revision>
  <dcterms:created xsi:type="dcterms:W3CDTF">2015-03-20T08:05:00Z</dcterms:created>
  <dcterms:modified xsi:type="dcterms:W3CDTF">2015-03-20T08:05:00Z</dcterms:modified>
</cp:coreProperties>
</file>