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5A0" w:rsidRPr="002272B7" w:rsidRDefault="002272B7" w:rsidP="002272B7">
      <w:pPr>
        <w:jc w:val="center"/>
        <w:rPr>
          <w:b/>
          <w:sz w:val="22"/>
          <w:szCs w:val="22"/>
        </w:rPr>
      </w:pPr>
      <w:r w:rsidRPr="002272B7">
        <w:rPr>
          <w:b/>
          <w:sz w:val="22"/>
          <w:szCs w:val="22"/>
        </w:rPr>
        <w:t>Порівняльна таблиця до розділу VI проекту Положення про здійснення фінансового моніторингу професійними учасниками ринку цінних паперів у редакціях, розміщених на сайті НКЦПФР 07.04.2015 року та 10.07.2015 року</w:t>
      </w:r>
    </w:p>
    <w:p w:rsidR="002272B7" w:rsidRPr="002272B7" w:rsidRDefault="002272B7" w:rsidP="002272B7">
      <w:pPr>
        <w:rPr>
          <w:b/>
          <w:sz w:val="22"/>
          <w:szCs w:val="22"/>
        </w:rPr>
      </w:pPr>
    </w:p>
    <w:tbl>
      <w:tblPr>
        <w:tblStyle w:val="af5"/>
        <w:tblW w:w="0" w:type="auto"/>
        <w:tblLook w:val="04A0"/>
      </w:tblPr>
      <w:tblGrid>
        <w:gridCol w:w="7905"/>
        <w:gridCol w:w="7449"/>
      </w:tblGrid>
      <w:tr w:rsidR="002272B7" w:rsidRPr="002272B7" w:rsidTr="000C57D8">
        <w:tc>
          <w:tcPr>
            <w:tcW w:w="7905" w:type="dxa"/>
          </w:tcPr>
          <w:p w:rsidR="002272B7" w:rsidRPr="00C527B8" w:rsidRDefault="002272B7" w:rsidP="000C57D8">
            <w:pPr>
              <w:rPr>
                <w:b/>
              </w:rPr>
            </w:pPr>
            <w:r w:rsidRPr="00C527B8">
              <w:rPr>
                <w:b/>
              </w:rPr>
              <w:t>Редакція, розміщена 07.04.2015 року</w:t>
            </w:r>
          </w:p>
        </w:tc>
        <w:tc>
          <w:tcPr>
            <w:tcW w:w="7449" w:type="dxa"/>
          </w:tcPr>
          <w:p w:rsidR="002272B7" w:rsidRPr="00C527B8" w:rsidRDefault="002272B7" w:rsidP="000C57D8">
            <w:pPr>
              <w:rPr>
                <w:b/>
              </w:rPr>
            </w:pPr>
            <w:r w:rsidRPr="00C527B8">
              <w:rPr>
                <w:b/>
              </w:rPr>
              <w:t>Редакція, розміщена 10.07.2015 року</w:t>
            </w:r>
          </w:p>
        </w:tc>
      </w:tr>
      <w:tr w:rsidR="002272B7" w:rsidRPr="002272B7" w:rsidTr="000C57D8">
        <w:tc>
          <w:tcPr>
            <w:tcW w:w="7905" w:type="dxa"/>
          </w:tcPr>
          <w:p w:rsidR="002272B7" w:rsidRPr="002272B7" w:rsidRDefault="002272B7" w:rsidP="000C57D8">
            <w:r w:rsidRPr="002272B7">
              <w:t>VІ. Особливості здійснення ідентифікації та верифікації клієнтів</w:t>
            </w:r>
          </w:p>
          <w:p w:rsidR="002272B7" w:rsidRPr="002272B7" w:rsidRDefault="002272B7" w:rsidP="000C57D8"/>
          <w:p w:rsidR="002272B7" w:rsidRPr="002272B7" w:rsidRDefault="002272B7" w:rsidP="00C527B8">
            <w:pPr>
              <w:jc w:val="both"/>
            </w:pPr>
            <w:r w:rsidRPr="002272B7">
              <w:t>1. Ідентифікація та верифікація депозитарними установами клієнтів здійснюється з урахуванням того, що ідентифікація та верифікація власників цінних паперів, яким були відкриті рахунки в цінних паперах на підставі договору з емітентом або договору із депозитарною установою-правонаступником здійснюється депозитарною установою при укладанні договору про обслуговування рахунку в цінних паперах між власником цінних паперів та депозитарною установою або при виконанні депозитарною установою операцій, пов'язаних з переведенням прав на цінні папери з рахунку у цінних паперах власника, відкритого емітентом або депозитарною установою-правонаступником на підставі відповідного договору, на рахунок у цінних паперах цього власника, відкритий в іншій депозитарній установі, або на рахунок у цінних паперах цього власника, відкритий йому депозитарною установою до проведення переведення цінних паперів у бездокументарну форму, якщо сумарна номінальна вартість цінних паперів дорівнює чи перевищує 150000 гривень, або дорівнює чи перевищує суму в іноземній валюті, банківських металах, інших активах, еквівалентну 150000 гривень.</w:t>
            </w:r>
          </w:p>
          <w:p w:rsidR="002272B7" w:rsidRPr="002272B7" w:rsidRDefault="002272B7" w:rsidP="000C57D8"/>
          <w:p w:rsidR="002272B7" w:rsidRPr="002272B7" w:rsidRDefault="002272B7" w:rsidP="00C527B8">
            <w:pPr>
              <w:jc w:val="both"/>
            </w:pPr>
            <w:r w:rsidRPr="002272B7">
              <w:t>2. Не є обов’язковою ідентифікація та верифікація депозитарною установою особи, яка є стороною договору, що є підставою для проведення депозитарної операції.</w:t>
            </w:r>
          </w:p>
          <w:p w:rsidR="002272B7" w:rsidRPr="002272B7" w:rsidRDefault="002272B7" w:rsidP="000C57D8"/>
          <w:p w:rsidR="002272B7" w:rsidRPr="002272B7" w:rsidRDefault="002272B7" w:rsidP="00C527B8">
            <w:pPr>
              <w:jc w:val="both"/>
            </w:pPr>
            <w:r w:rsidRPr="002272B7">
              <w:t>3. Не є обов’язковою ідентифікація та верифікація депозитарною установою спадкоємця при проведенні депозитарних операцій щодо спадкування цінних паперів, крім випадку встановлення спадкоємцем ділових відносин із депозитарною установою.</w:t>
            </w:r>
          </w:p>
          <w:p w:rsidR="002272B7" w:rsidRPr="007E3972" w:rsidRDefault="002272B7" w:rsidP="000C57D8"/>
          <w:p w:rsidR="002272B7" w:rsidRPr="007E3972" w:rsidRDefault="002272B7" w:rsidP="00C527B8">
            <w:pPr>
              <w:jc w:val="both"/>
            </w:pPr>
            <w:r w:rsidRPr="007E3972">
              <w:t>4. Не є обов’язковою ідентифікація та верифікація торговцем цінними паперами особи, що є стороною договору на виконання договору про надання фінансових послуг або дилерського договору, який укладається на організованому ринку цінних паперів.</w:t>
            </w:r>
          </w:p>
          <w:p w:rsidR="002272B7" w:rsidRPr="007E3972" w:rsidRDefault="002272B7" w:rsidP="000C57D8"/>
          <w:p w:rsidR="002272B7" w:rsidRPr="007E3972" w:rsidRDefault="002272B7" w:rsidP="00C527B8">
            <w:pPr>
              <w:jc w:val="both"/>
            </w:pPr>
            <w:r w:rsidRPr="007E3972">
              <w:t xml:space="preserve">5. Не є обов’язковою ідентифікація та верифікація торговцем цінними паперами особи, що є стороною дилерського договору, який укладається поза організованим ринком цінних паперів на суму, що становить менше 150000 </w:t>
            </w:r>
            <w:r w:rsidRPr="007E3972">
              <w:lastRenderedPageBreak/>
              <w:t xml:space="preserve">гривень, або суму, еквівалентну зазначеній сумі, у тому числі в іноземній валюті, банківських металах, інших активах. Не є обов’язковою ідентифікація та верифікація торговцем цінними паперами особи, що є клієнтом суб’єкта первинного фінансового, який є другою стороною дилерського договору (контрагентом), який укладається поза організованим ринком цінних паперів в рамках </w:t>
            </w:r>
            <w:proofErr w:type="spellStart"/>
            <w:r w:rsidRPr="007E3972">
              <w:t>проваждення</w:t>
            </w:r>
            <w:proofErr w:type="spellEnd"/>
            <w:r w:rsidRPr="007E3972">
              <w:t xml:space="preserve"> дилерської діяльності</w:t>
            </w:r>
          </w:p>
          <w:p w:rsidR="00E66965" w:rsidRDefault="00E66965" w:rsidP="00C527B8">
            <w:pPr>
              <w:jc w:val="both"/>
              <w:rPr>
                <w:b/>
              </w:rPr>
            </w:pPr>
          </w:p>
          <w:p w:rsidR="00E66965" w:rsidRDefault="00E66965" w:rsidP="00C527B8">
            <w:pPr>
              <w:jc w:val="both"/>
              <w:rPr>
                <w:b/>
              </w:rPr>
            </w:pPr>
          </w:p>
          <w:p w:rsidR="00E66965" w:rsidRDefault="00E66965" w:rsidP="00C527B8">
            <w:pPr>
              <w:jc w:val="both"/>
              <w:rPr>
                <w:b/>
              </w:rPr>
            </w:pPr>
          </w:p>
          <w:p w:rsidR="00E66965" w:rsidRDefault="00E66965" w:rsidP="00C527B8">
            <w:pPr>
              <w:jc w:val="both"/>
              <w:rPr>
                <w:b/>
              </w:rPr>
            </w:pPr>
          </w:p>
          <w:p w:rsidR="00E66965" w:rsidRDefault="00E66965" w:rsidP="00C527B8">
            <w:pPr>
              <w:jc w:val="both"/>
              <w:rPr>
                <w:b/>
              </w:rPr>
            </w:pPr>
          </w:p>
          <w:p w:rsidR="00E66965" w:rsidRDefault="00E66965" w:rsidP="00C527B8">
            <w:pPr>
              <w:jc w:val="both"/>
              <w:rPr>
                <w:b/>
              </w:rPr>
            </w:pPr>
          </w:p>
          <w:p w:rsidR="00E66965" w:rsidRPr="00E66965" w:rsidRDefault="00E66965" w:rsidP="00C527B8">
            <w:pPr>
              <w:jc w:val="both"/>
              <w:rPr>
                <w:b/>
              </w:rPr>
            </w:pPr>
          </w:p>
          <w:p w:rsidR="002272B7" w:rsidRPr="002272B7" w:rsidRDefault="002272B7" w:rsidP="000C57D8"/>
          <w:p w:rsidR="002272B7" w:rsidRPr="002272B7" w:rsidRDefault="002272B7" w:rsidP="00C527B8">
            <w:pPr>
              <w:jc w:val="both"/>
            </w:pPr>
            <w:r w:rsidRPr="002272B7">
              <w:t>6. Не є обов’язковою ідентифікація та верифікація фондовою біржею особи, яка вступає у ділові відносини з біржею у зв’язку з отриманням послуг з включення та перебування цінних паперів такої особи у біржовому списку фондової біржі.</w:t>
            </w:r>
          </w:p>
          <w:p w:rsidR="002272B7" w:rsidRPr="002272B7" w:rsidRDefault="002272B7" w:rsidP="000C57D8"/>
          <w:p w:rsidR="002272B7" w:rsidRPr="002272B7" w:rsidRDefault="002272B7" w:rsidP="00C527B8">
            <w:pPr>
              <w:jc w:val="both"/>
            </w:pPr>
            <w:r w:rsidRPr="002272B7">
              <w:t>7. Не є обов'язковою ідентифікація та верифікація фондовою біржею особи, від імені або за дорученням чи в інтересах якої клієнтом фондової біржі проводиться фінансова операція на організованому ринку цінних паперів або яка є вигодоодержувачем від такої операції, у разі якщо клієнт фондової біржі діє як представник іншої особи чи в інтересах іншої особи.</w:t>
            </w:r>
          </w:p>
          <w:p w:rsidR="002272B7" w:rsidRPr="002272B7" w:rsidRDefault="002272B7" w:rsidP="000C57D8"/>
          <w:p w:rsidR="002272B7" w:rsidRPr="002272B7" w:rsidRDefault="002272B7" w:rsidP="00C527B8">
            <w:pPr>
              <w:jc w:val="both"/>
            </w:pPr>
            <w:r w:rsidRPr="002272B7">
              <w:t>8. Не є обов’язковою ідентифікація та верифікація торговцем цінними паперами особи, яка є другою стороною договору (контрагентом) або клієнтом іншого суб’єкта первинного фінансового моніторингу, на виконання, укладеного торговцем цінними паперами договору в рамках провадження брокерської діяльності.</w:t>
            </w:r>
          </w:p>
          <w:p w:rsidR="002272B7" w:rsidRPr="002272B7" w:rsidRDefault="002272B7" w:rsidP="000C57D8"/>
          <w:p w:rsidR="002272B7" w:rsidRPr="002272B7" w:rsidRDefault="002272B7" w:rsidP="00C527B8">
            <w:pPr>
              <w:jc w:val="both"/>
            </w:pPr>
            <w:r w:rsidRPr="002272B7">
              <w:t xml:space="preserve">9. Ідентифікація, верифікація та вивчення клієнтів, які є юридичними особами, що знаходяться на стадії створення, здійснюється, депозитарними установами після державної реєстрації юридичної особи в установленому порядку але до проведення фінансової операції. </w:t>
            </w:r>
          </w:p>
          <w:p w:rsidR="002272B7" w:rsidRDefault="002272B7" w:rsidP="000C57D8"/>
          <w:p w:rsidR="00E66965" w:rsidRPr="002272B7" w:rsidRDefault="00E66965" w:rsidP="000C57D8"/>
          <w:p w:rsidR="002272B7" w:rsidRPr="002272B7" w:rsidRDefault="002272B7" w:rsidP="00C527B8">
            <w:pPr>
              <w:jc w:val="both"/>
            </w:pPr>
            <w:r w:rsidRPr="002272B7">
              <w:t xml:space="preserve">10. Центральний депозитарій може не здійснювати ідентифікацію та верифікацію власників цінних паперів, які в установленому порядку не закрили свої рахунки у цінних паперах у депозитарних установах/зберігачах, що припинили провадження професійної діяльності на фондовому ринку – </w:t>
            </w:r>
            <w:r w:rsidRPr="002272B7">
              <w:lastRenderedPageBreak/>
              <w:t>депозитарної діяльності, а саме депозитарної діяльності депозитарної установи/зберігача, і передали Центральному депозитарію як уповноваженому на зберігання документи, облікові реєстри власників іменних цінних паперів, бази даних, копії баз даних, архіви баз даних, а також  уповноважених ними осіб або осіб, які отримали ці цінні папери внаслідок спадкування, правонаступництва чи за рішенням суду, що звертаються до Центрального депозитарію як уповноваженого на зберігання для:</w:t>
            </w:r>
          </w:p>
          <w:p w:rsidR="002272B7" w:rsidRPr="002272B7" w:rsidRDefault="002272B7" w:rsidP="00C527B8">
            <w:pPr>
              <w:jc w:val="both"/>
            </w:pPr>
            <w:r w:rsidRPr="002272B7">
              <w:t>а) отримання  виписки про стан рахунку у цінних паперів, підготовлену депозитарною установою або зберігачем цінних паперів, що припинили провадження професійної діяльності на фондовому ринку – депозитарної діяльності, а саме депозитарної діяльності депозитарної установи/зберігача цінних паперів;</w:t>
            </w:r>
          </w:p>
          <w:p w:rsidR="002272B7" w:rsidRPr="002272B7" w:rsidRDefault="002272B7" w:rsidP="00C527B8">
            <w:pPr>
              <w:jc w:val="both"/>
            </w:pPr>
            <w:r w:rsidRPr="002272B7">
              <w:t>б) переказу цінних паперів з рахунку депозитарної установи/зберігача цінних паперів в Центральному депозитарії, як уповноваженому на зберігання, на рахунок у цінних паперах обраної власником цінних паперів депозитарної установи.</w:t>
            </w:r>
          </w:p>
          <w:p w:rsidR="002272B7" w:rsidRPr="002272B7" w:rsidRDefault="002272B7" w:rsidP="000C57D8"/>
          <w:p w:rsidR="002272B7" w:rsidRPr="002272B7" w:rsidRDefault="002272B7" w:rsidP="00C527B8">
            <w:pPr>
              <w:jc w:val="both"/>
            </w:pPr>
            <w:r w:rsidRPr="002272B7">
              <w:t>11. Суб’єкт первинного фінансового моніторингу може не встановлювати дані, що дають змогу встановити кінцевих бенефіціарних власників (контролерів) клієнта, у разі якщо клієнт є емітентом, що відповідно до законодавства або умов публічного розміщення акцій на фондовій біржі зобов'язаний публічно розкривати відомості про кінцевих бенефіціарних власників (контролерів), або є дочірнім підприємством чи представництвом такого клієнта.</w:t>
            </w:r>
          </w:p>
          <w:p w:rsidR="002272B7" w:rsidRPr="002272B7" w:rsidRDefault="002272B7" w:rsidP="000C57D8"/>
          <w:p w:rsidR="002272B7" w:rsidRPr="002272B7" w:rsidRDefault="002272B7" w:rsidP="00C527B8">
            <w:pPr>
              <w:jc w:val="both"/>
            </w:pPr>
            <w:r w:rsidRPr="002272B7">
              <w:t>12. Суб’єкт первинного фінансового моніторингу може не встановлювати дані, що дають змогу встановити кінцевих бенефіціарних власників (контролерів) клієнтів, у разі якщо клієнтами виступають фінансові установи, які зареєстровані в державах – членах Європейського Союзу, або є емітентами, які зареєстровані в державах – членах Європейського Союзу та обіг акцій яких здійснюється на фондовій біржі (фондових біржах) держав – членів Європейського Союзу.</w:t>
            </w:r>
          </w:p>
          <w:p w:rsidR="002272B7" w:rsidRPr="002272B7" w:rsidRDefault="002272B7" w:rsidP="000C57D8"/>
          <w:p w:rsidR="002272B7" w:rsidRPr="002272B7" w:rsidRDefault="002272B7" w:rsidP="00C527B8">
            <w:pPr>
              <w:jc w:val="both"/>
            </w:pPr>
            <w:r w:rsidRPr="002272B7">
              <w:t xml:space="preserve">13. Не є обов’язковою ідентифікація, верифікація клієнтів (представників клієнтів) вивчення та уточнення інформації про клієнта компанією з управління активами, у разі проведення фінансової операції (купівлі-продажу цінних паперів) за допомогою торговця цінними паперами. </w:t>
            </w:r>
          </w:p>
          <w:p w:rsidR="002272B7" w:rsidRPr="002272B7" w:rsidRDefault="002272B7" w:rsidP="00C527B8">
            <w:pPr>
              <w:jc w:val="both"/>
            </w:pPr>
            <w:r w:rsidRPr="002272B7">
              <w:t xml:space="preserve">14. Під час проведення ідентифікації клієнта який виступає органом державної влади, міжнародною установою чи організацією, в яких бере участь Україна відповідно до міжнародних договорів України, згода на обов'язковість яких надана Верховною Радою України суб’єкт первинного фінансового моніторингу проводить ідентифікацію на підставі довіреності наданої представником клієнта </w:t>
            </w:r>
            <w:r w:rsidRPr="002272B7">
              <w:lastRenderedPageBreak/>
              <w:t>або офіційного документу який підтверджує його повноваження. Верифікація представника клієнта здійснюється без врахування рівня ризику.</w:t>
            </w:r>
          </w:p>
          <w:p w:rsidR="002272B7" w:rsidRPr="002272B7" w:rsidRDefault="002272B7" w:rsidP="000C57D8"/>
          <w:p w:rsidR="002272B7" w:rsidRPr="002272B7" w:rsidRDefault="002272B7" w:rsidP="00C527B8">
            <w:pPr>
              <w:jc w:val="both"/>
            </w:pPr>
            <w:r w:rsidRPr="002272B7">
              <w:t>15. Не є обов’язковим здійснення Центральним депозитарієм ідентифікації, верифікації, вивчення емітентів та уточнення інформації про емітентів, в тому числі емітентів, що знаходяться на стадії створення.</w:t>
            </w:r>
          </w:p>
          <w:p w:rsidR="002272B7" w:rsidRPr="002272B7" w:rsidRDefault="002272B7" w:rsidP="000C57D8"/>
          <w:p w:rsidR="002272B7" w:rsidRPr="002272B7" w:rsidRDefault="002272B7" w:rsidP="00C527B8">
            <w:pPr>
              <w:jc w:val="both"/>
            </w:pPr>
            <w:r w:rsidRPr="002272B7">
              <w:t>16. У разі укладання ділових відносин між професійними учасниками фондового ринку (ринку цінних паперів) ідентифікацію, верифікацію, вивчення та уточнення інформації здійснює той суб’єкт первинного фінансового моніторингу який надає послугу.</w:t>
            </w:r>
          </w:p>
          <w:p w:rsidR="002272B7" w:rsidRPr="002272B7" w:rsidRDefault="002272B7" w:rsidP="000C57D8"/>
          <w:p w:rsidR="002272B7" w:rsidRPr="002272B7" w:rsidRDefault="002272B7" w:rsidP="000C57D8"/>
        </w:tc>
        <w:tc>
          <w:tcPr>
            <w:tcW w:w="7449" w:type="dxa"/>
          </w:tcPr>
          <w:p w:rsidR="00C527B8" w:rsidRPr="001737D3" w:rsidRDefault="00C527B8" w:rsidP="00C527B8">
            <w:r w:rsidRPr="001737D3">
              <w:lastRenderedPageBreak/>
              <w:t>VІ. Особливості здійснення ідентифікації та верифікації клієнтів</w:t>
            </w:r>
          </w:p>
          <w:p w:rsidR="00C527B8" w:rsidRPr="001737D3" w:rsidRDefault="00C527B8" w:rsidP="00C527B8"/>
          <w:p w:rsidR="00C527B8" w:rsidRPr="001737D3" w:rsidRDefault="00C527B8" w:rsidP="00C527B8">
            <w:pPr>
              <w:rPr>
                <w:i/>
              </w:rPr>
            </w:pPr>
            <w:r w:rsidRPr="001737D3">
              <w:t>1. Депозитарна установа здійснює ідентифікацію та верифікацію клієнта у випадку укладання договору про обслуговування рахунків в цінних паперах.</w:t>
            </w: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Default="00C527B8" w:rsidP="00C527B8">
            <w:pPr>
              <w:rPr>
                <w:i/>
              </w:rPr>
            </w:pPr>
          </w:p>
          <w:p w:rsidR="00C527B8" w:rsidRPr="007E3972" w:rsidRDefault="00C527B8" w:rsidP="00C527B8">
            <w:pPr>
              <w:rPr>
                <w:i/>
              </w:rPr>
            </w:pPr>
          </w:p>
          <w:p w:rsidR="00C527B8" w:rsidRPr="007E3972" w:rsidRDefault="00C527B8" w:rsidP="00C527B8">
            <w:pPr>
              <w:jc w:val="both"/>
            </w:pPr>
            <w:r w:rsidRPr="007E3972">
              <w:t>2. Торговці цінними паперами здійснюють ідентифікацію та верифікацію клієнта та контрагента (другої сторони договору) у випадку проведення фінансової операції на виконання договору на виконання договору про надання фінансових послуг, договору на придбання цінних паперів, договору про управління або дилерського договору який укладається на не організованому ринку цінних паперів з урахуванням пункту 3 та 4 цього розділу.</w:t>
            </w:r>
          </w:p>
          <w:p w:rsidR="00C527B8" w:rsidRPr="001737D3" w:rsidRDefault="00C527B8" w:rsidP="00C527B8"/>
          <w:p w:rsidR="00C527B8" w:rsidRDefault="00C527B8" w:rsidP="00C527B8">
            <w:pPr>
              <w:jc w:val="both"/>
              <w:rPr>
                <w:i/>
              </w:rPr>
            </w:pPr>
            <w:r w:rsidRPr="001737D3">
              <w:lastRenderedPageBreak/>
              <w:t>3. У разі укладання договору який укладається поза організованим ринком цінних паперів на суму, що становить менше 150000 гривень, або суму, еквівалентну зазначеній сумі, у тому числі в іноземній валюті, банківських металах, інших активах ідентифікація та верифікація торговцем цінними паперами особи, що є стороною дилерського договору або договору на виконання договору про надання фінансових послуг не є обов’язковою (може не проводитись).</w:t>
            </w:r>
            <w:r w:rsidRPr="001737D3">
              <w:rPr>
                <w:i/>
              </w:rPr>
              <w:t xml:space="preserve"> </w:t>
            </w:r>
          </w:p>
          <w:p w:rsidR="00C527B8" w:rsidRPr="001737D3" w:rsidRDefault="00C527B8" w:rsidP="00C527B8"/>
          <w:p w:rsidR="00C527B8" w:rsidRDefault="00C527B8" w:rsidP="00C527B8">
            <w:pPr>
              <w:jc w:val="both"/>
            </w:pPr>
            <w:r w:rsidRPr="001737D3">
              <w:t>4. Під час укладання дилерського договору або договору в рамках провадження брокерської діяльності між двома торговцями цінними паперами, як на організованому так і на неорганізованому ринку цінних паперів, ідентифікацію та верифікацію клієнта здійснює той суб’єкт первинного фінансового моніторингу який надає послугу.</w:t>
            </w:r>
          </w:p>
          <w:p w:rsidR="00C527B8" w:rsidRPr="001737D3" w:rsidRDefault="00C527B8" w:rsidP="00C527B8"/>
          <w:p w:rsidR="00C527B8" w:rsidRDefault="00C527B8" w:rsidP="00C527B8">
            <w:pPr>
              <w:jc w:val="both"/>
            </w:pPr>
            <w:r w:rsidRPr="001737D3">
              <w:t xml:space="preserve">5. Фондові біржі здійснюють ідентифікацію та верифікацію торговців цінними паперами. </w:t>
            </w:r>
          </w:p>
          <w:p w:rsidR="00C527B8" w:rsidRDefault="00C527B8" w:rsidP="00C527B8"/>
          <w:p w:rsidR="00E66965" w:rsidRDefault="00E66965" w:rsidP="00C527B8"/>
          <w:p w:rsidR="00E66965" w:rsidRDefault="00E66965" w:rsidP="00C527B8"/>
          <w:p w:rsidR="00E66965" w:rsidRDefault="00E66965" w:rsidP="00C527B8"/>
          <w:p w:rsidR="00E66965" w:rsidRDefault="00E66965" w:rsidP="00C527B8"/>
          <w:p w:rsidR="00E66965" w:rsidRDefault="00E66965" w:rsidP="00C527B8"/>
          <w:p w:rsidR="00E66965" w:rsidRDefault="00E66965" w:rsidP="00C527B8"/>
          <w:p w:rsidR="00E66965" w:rsidRDefault="00E66965" w:rsidP="00C527B8"/>
          <w:p w:rsidR="00E66965" w:rsidRDefault="00E66965" w:rsidP="00C527B8"/>
          <w:p w:rsidR="00E66965" w:rsidRDefault="00E66965" w:rsidP="00C527B8"/>
          <w:p w:rsidR="00E66965" w:rsidRDefault="00E66965" w:rsidP="00C527B8"/>
          <w:p w:rsidR="00E66965" w:rsidRDefault="00E66965" w:rsidP="00C527B8"/>
          <w:p w:rsidR="00E66965" w:rsidRDefault="00E66965" w:rsidP="00C527B8"/>
          <w:p w:rsidR="00E66965" w:rsidRPr="001737D3" w:rsidRDefault="00E66965" w:rsidP="00C527B8"/>
          <w:p w:rsidR="00C527B8" w:rsidRPr="001737D3" w:rsidRDefault="00C527B8" w:rsidP="00C527B8">
            <w:pPr>
              <w:jc w:val="both"/>
            </w:pPr>
            <w:r w:rsidRPr="001737D3">
              <w:t xml:space="preserve">6. Ідентифікація, верифікація та вивчення клієнтів/представників клієнтів, які є юридичними особами, що знаходяться на стадії створення, здійснюється, депозитарними установами після державної реєстрації юридичної особи в установленому порядку але до проведення фінансової операції. </w:t>
            </w:r>
          </w:p>
          <w:p w:rsidR="00C527B8" w:rsidRPr="001737D3" w:rsidRDefault="00C527B8" w:rsidP="00C527B8">
            <w:pPr>
              <w:rPr>
                <w:i/>
              </w:rPr>
            </w:pPr>
          </w:p>
          <w:p w:rsidR="00C527B8" w:rsidRDefault="00C527B8" w:rsidP="00C527B8">
            <w:pPr>
              <w:jc w:val="both"/>
            </w:pPr>
            <w:r w:rsidRPr="001737D3">
              <w:t>7. Центральний депозитарій здійснює ідентифікацію та верифікацію депозитарних установ та депозитаріїв інших країн.</w:t>
            </w:r>
          </w:p>
          <w:p w:rsidR="00C527B8" w:rsidRPr="001737D3" w:rsidRDefault="00C527B8" w:rsidP="00C527B8"/>
          <w:p w:rsidR="00C527B8" w:rsidRDefault="00C527B8" w:rsidP="00C527B8">
            <w:pPr>
              <w:jc w:val="both"/>
            </w:pPr>
            <w:r w:rsidRPr="001737D3">
              <w:t xml:space="preserve">8. Суб’єкт первинного фінансового моніторингу може не встановлювати </w:t>
            </w:r>
            <w:r w:rsidRPr="001737D3">
              <w:lastRenderedPageBreak/>
              <w:t>дані, що дають змогу встановити кінцевих бенефіціарних власників (контролерів) клієнта, у разі якщо клієнт є емітентом, що відповідно до законодавства або умов публічного розміщення акцій на фондовій біржі зобов'язаний публічно розкривати відомості про кінцевих бенефіціарних власників (контролерів), або є дочірнім підприємством чи представництвом такого клієнта.</w:t>
            </w:r>
          </w:p>
          <w:p w:rsidR="00E66965" w:rsidRDefault="00E66965" w:rsidP="00C527B8">
            <w:pPr>
              <w:jc w:val="both"/>
            </w:pPr>
          </w:p>
          <w:p w:rsidR="00E66965" w:rsidRDefault="00E66965" w:rsidP="00C527B8">
            <w:pPr>
              <w:jc w:val="both"/>
            </w:pPr>
          </w:p>
          <w:p w:rsidR="00E66965" w:rsidRDefault="00E66965" w:rsidP="00C527B8">
            <w:pPr>
              <w:jc w:val="both"/>
            </w:pPr>
          </w:p>
          <w:p w:rsidR="00E66965" w:rsidRDefault="00E66965" w:rsidP="00C527B8">
            <w:pPr>
              <w:jc w:val="both"/>
            </w:pPr>
          </w:p>
          <w:p w:rsidR="00E66965" w:rsidRDefault="00E66965" w:rsidP="00C527B8">
            <w:pPr>
              <w:jc w:val="both"/>
            </w:pPr>
          </w:p>
          <w:p w:rsidR="00E66965" w:rsidRDefault="00E66965" w:rsidP="00C527B8">
            <w:pPr>
              <w:jc w:val="both"/>
            </w:pPr>
          </w:p>
          <w:p w:rsidR="00E66965" w:rsidRDefault="00E66965" w:rsidP="00C527B8">
            <w:pPr>
              <w:jc w:val="both"/>
            </w:pPr>
          </w:p>
          <w:p w:rsidR="00E66965" w:rsidRDefault="00E66965" w:rsidP="00C527B8">
            <w:pPr>
              <w:jc w:val="both"/>
            </w:pPr>
          </w:p>
          <w:p w:rsidR="00E66965" w:rsidRDefault="00E66965" w:rsidP="00C527B8">
            <w:pPr>
              <w:jc w:val="both"/>
            </w:pPr>
          </w:p>
          <w:p w:rsidR="00E66965" w:rsidRDefault="00E66965" w:rsidP="00C527B8">
            <w:pPr>
              <w:jc w:val="both"/>
            </w:pPr>
          </w:p>
          <w:p w:rsidR="00C527B8" w:rsidRPr="001737D3" w:rsidRDefault="00C527B8" w:rsidP="00C527B8"/>
          <w:p w:rsidR="00C527B8" w:rsidRDefault="00C527B8" w:rsidP="00C527B8">
            <w:pPr>
              <w:jc w:val="both"/>
            </w:pPr>
            <w:r w:rsidRPr="001737D3">
              <w:t>9. Суб’єкт первинного фінансового моніторингу може не встановлювати дані, що дають змогу встановити кінцевих бенефіціарних власників (контролерів) клієнтів, у разі якщо клієнтами виступають фінансові установи, які зареєстровані в державах – членах Європейського Союзу, або є емітентами, які зареєстровані в державах – членах Європейського Союзу та обіг акцій яких здійснюється на фондовій біржі (фондових біржах) держав – членів Європейського Союзу.</w:t>
            </w:r>
          </w:p>
          <w:p w:rsidR="00C527B8" w:rsidRPr="001737D3" w:rsidRDefault="00C527B8" w:rsidP="00C527B8"/>
          <w:p w:rsidR="00C527B8" w:rsidRDefault="00C527B8" w:rsidP="00C527B8">
            <w:pPr>
              <w:jc w:val="both"/>
            </w:pPr>
            <w:r w:rsidRPr="001737D3">
              <w:t>10. Компанії з управління активами здійснюють ідентифікацію та верифікацію клієнтів у разі проведення фінансової операції (купівлі-продажу цінних паперів) без участі торговця цінними паперами та у разі проведення фінансових операцій, які здійснюються в рамках діяльності з управління активами інституційних інвесторів, на суму, визначену частиною першою статті 15 Закону України.</w:t>
            </w:r>
          </w:p>
          <w:p w:rsidR="00C527B8" w:rsidRPr="001737D3" w:rsidRDefault="00C527B8" w:rsidP="00C527B8"/>
          <w:p w:rsidR="00C527B8" w:rsidRDefault="00C527B8" w:rsidP="00C527B8">
            <w:pPr>
              <w:jc w:val="both"/>
            </w:pPr>
            <w:r w:rsidRPr="001737D3">
              <w:t>11. Під час проведення ідентифікації клієнта який виступає органом державної влади, міжнародною установою чи організацією, в яких бере участь Україна відповідно до міжнародних договорів України, згода на обов'язковість яких надана Верховною Радою України суб’єкт первинного фінансового моніторингу проводить ідентифікацію на підставі довіреності наданої представником клієнта або офіційного документу який підтверджує його повноваження. Верифікація представника клієнта здійснюється без врахування рівня ризику.</w:t>
            </w:r>
          </w:p>
          <w:p w:rsidR="00C527B8" w:rsidRPr="001737D3" w:rsidRDefault="00C527B8" w:rsidP="00C527B8"/>
          <w:p w:rsidR="00C527B8" w:rsidRPr="001737D3" w:rsidRDefault="00C527B8" w:rsidP="00C527B8">
            <w:pPr>
              <w:jc w:val="both"/>
            </w:pPr>
            <w:r w:rsidRPr="001737D3">
              <w:t>12. У разі укладання ділових відносин між професійними учасниками фондового ринку (ринку цінних паперів) ідентифікацію, верифікацію, вивчення та уточнення інформації здійснює той суб’єкт первинного фінансового моніторингу який надає послугу.</w:t>
            </w:r>
          </w:p>
          <w:p w:rsidR="00C527B8" w:rsidRPr="001737D3" w:rsidRDefault="00C527B8" w:rsidP="00C527B8"/>
          <w:p w:rsidR="002272B7" w:rsidRPr="002272B7" w:rsidRDefault="002272B7" w:rsidP="00C527B8"/>
        </w:tc>
      </w:tr>
    </w:tbl>
    <w:p w:rsidR="002272B7" w:rsidRPr="002272B7" w:rsidRDefault="002272B7" w:rsidP="002272B7">
      <w:pPr>
        <w:pStyle w:val="af6"/>
        <w:spacing w:before="0" w:beforeAutospacing="0" w:after="0" w:afterAutospacing="0"/>
        <w:ind w:left="-540"/>
        <w:jc w:val="center"/>
        <w:rPr>
          <w:sz w:val="22"/>
          <w:szCs w:val="22"/>
        </w:rPr>
      </w:pPr>
    </w:p>
    <w:sectPr w:rsidR="002272B7" w:rsidRPr="002272B7" w:rsidSect="004878C8">
      <w:pgSz w:w="16838" w:h="11906" w:orient="landscape"/>
      <w:pgMar w:top="851" w:right="850" w:bottom="850"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20"/>
  <w:displayHorizontalDrawingGridEvery w:val="2"/>
  <w:characterSpacingControl w:val="doNotCompress"/>
  <w:compat/>
  <w:rsids>
    <w:rsidRoot w:val="004878C8"/>
    <w:rsid w:val="00033F40"/>
    <w:rsid w:val="000C57D8"/>
    <w:rsid w:val="00160E50"/>
    <w:rsid w:val="001D2B69"/>
    <w:rsid w:val="002272B7"/>
    <w:rsid w:val="004878C8"/>
    <w:rsid w:val="005402A2"/>
    <w:rsid w:val="005A7EBF"/>
    <w:rsid w:val="005F7D00"/>
    <w:rsid w:val="00623722"/>
    <w:rsid w:val="0067622F"/>
    <w:rsid w:val="00734B37"/>
    <w:rsid w:val="00753D72"/>
    <w:rsid w:val="00774B25"/>
    <w:rsid w:val="007E3972"/>
    <w:rsid w:val="007E6DE2"/>
    <w:rsid w:val="008474CB"/>
    <w:rsid w:val="00A531B8"/>
    <w:rsid w:val="00B723ED"/>
    <w:rsid w:val="00BE0A92"/>
    <w:rsid w:val="00C527B8"/>
    <w:rsid w:val="00E61CCC"/>
    <w:rsid w:val="00E66965"/>
    <w:rsid w:val="00E75629"/>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72B7"/>
    <w:pPr>
      <w:spacing w:after="0" w:line="240" w:lineRule="auto"/>
    </w:pPr>
    <w:rPr>
      <w:rFonts w:ascii="Times New Roman" w:eastAsia="Times New Roman" w:hAnsi="Times New Roman" w:cs="Times New Roman"/>
      <w:sz w:val="24"/>
      <w:szCs w:val="24"/>
      <w:lang w:eastAsia="uk-UA"/>
    </w:rPr>
  </w:style>
  <w:style w:type="paragraph" w:styleId="1">
    <w:name w:val="heading 1"/>
    <w:basedOn w:val="a"/>
    <w:next w:val="a"/>
    <w:link w:val="10"/>
    <w:uiPriority w:val="9"/>
    <w:qFormat/>
    <w:rsid w:val="00E75629"/>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iPriority w:val="9"/>
    <w:semiHidden/>
    <w:unhideWhenUsed/>
    <w:qFormat/>
    <w:rsid w:val="00E75629"/>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semiHidden/>
    <w:unhideWhenUsed/>
    <w:qFormat/>
    <w:rsid w:val="00E75629"/>
    <w:pPr>
      <w:keepNext/>
      <w:keepLines/>
      <w:spacing w:before="200" w:line="276" w:lineRule="auto"/>
      <w:outlineLvl w:val="2"/>
    </w:pPr>
    <w:rPr>
      <w:rFonts w:asciiTheme="majorHAnsi" w:eastAsiaTheme="majorEastAsia" w:hAnsiTheme="majorHAnsi" w:cstheme="majorBidi"/>
      <w:b/>
      <w:bCs/>
      <w:color w:val="4F81BD" w:themeColor="accent1"/>
      <w:szCs w:val="22"/>
      <w:lang w:eastAsia="en-US"/>
    </w:rPr>
  </w:style>
  <w:style w:type="paragraph" w:styleId="4">
    <w:name w:val="heading 4"/>
    <w:basedOn w:val="a"/>
    <w:next w:val="a"/>
    <w:link w:val="40"/>
    <w:uiPriority w:val="9"/>
    <w:semiHidden/>
    <w:unhideWhenUsed/>
    <w:qFormat/>
    <w:rsid w:val="00E75629"/>
    <w:pPr>
      <w:keepNext/>
      <w:keepLines/>
      <w:spacing w:before="200" w:line="276" w:lineRule="auto"/>
      <w:outlineLvl w:val="3"/>
    </w:pPr>
    <w:rPr>
      <w:rFonts w:asciiTheme="majorHAnsi" w:eastAsiaTheme="majorEastAsia" w:hAnsiTheme="majorHAnsi" w:cstheme="majorBidi"/>
      <w:b/>
      <w:bCs/>
      <w:i/>
      <w:iCs/>
      <w:color w:val="4F81BD" w:themeColor="accent1"/>
      <w:szCs w:val="22"/>
      <w:lang w:eastAsia="en-US"/>
    </w:rPr>
  </w:style>
  <w:style w:type="paragraph" w:styleId="5">
    <w:name w:val="heading 5"/>
    <w:basedOn w:val="a"/>
    <w:next w:val="a"/>
    <w:link w:val="50"/>
    <w:uiPriority w:val="9"/>
    <w:semiHidden/>
    <w:unhideWhenUsed/>
    <w:qFormat/>
    <w:rsid w:val="00E75629"/>
    <w:pPr>
      <w:keepNext/>
      <w:keepLines/>
      <w:spacing w:before="200" w:line="276" w:lineRule="auto"/>
      <w:outlineLvl w:val="4"/>
    </w:pPr>
    <w:rPr>
      <w:rFonts w:asciiTheme="majorHAnsi" w:eastAsiaTheme="majorEastAsia" w:hAnsiTheme="majorHAnsi" w:cstheme="majorBidi"/>
      <w:color w:val="243F60" w:themeColor="accent1" w:themeShade="7F"/>
      <w:szCs w:val="22"/>
      <w:lang w:eastAsia="en-US"/>
    </w:rPr>
  </w:style>
  <w:style w:type="paragraph" w:styleId="6">
    <w:name w:val="heading 6"/>
    <w:basedOn w:val="a"/>
    <w:next w:val="a"/>
    <w:link w:val="60"/>
    <w:uiPriority w:val="9"/>
    <w:semiHidden/>
    <w:unhideWhenUsed/>
    <w:qFormat/>
    <w:rsid w:val="00E75629"/>
    <w:pPr>
      <w:keepNext/>
      <w:keepLines/>
      <w:spacing w:before="200" w:line="276" w:lineRule="auto"/>
      <w:outlineLvl w:val="5"/>
    </w:pPr>
    <w:rPr>
      <w:rFonts w:asciiTheme="majorHAnsi" w:eastAsiaTheme="majorEastAsia" w:hAnsiTheme="majorHAnsi" w:cstheme="majorBidi"/>
      <w:i/>
      <w:iCs/>
      <w:color w:val="243F60" w:themeColor="accent1" w:themeShade="7F"/>
      <w:szCs w:val="22"/>
      <w:lang w:eastAsia="en-US"/>
    </w:rPr>
  </w:style>
  <w:style w:type="paragraph" w:styleId="7">
    <w:name w:val="heading 7"/>
    <w:basedOn w:val="a"/>
    <w:next w:val="a"/>
    <w:link w:val="70"/>
    <w:uiPriority w:val="9"/>
    <w:semiHidden/>
    <w:unhideWhenUsed/>
    <w:qFormat/>
    <w:rsid w:val="00E75629"/>
    <w:pPr>
      <w:keepNext/>
      <w:keepLines/>
      <w:spacing w:before="200" w:line="276" w:lineRule="auto"/>
      <w:outlineLvl w:val="6"/>
    </w:pPr>
    <w:rPr>
      <w:rFonts w:asciiTheme="majorHAnsi" w:eastAsiaTheme="majorEastAsia" w:hAnsiTheme="majorHAnsi" w:cstheme="majorBidi"/>
      <w:i/>
      <w:iCs/>
      <w:color w:val="404040" w:themeColor="text1" w:themeTint="BF"/>
      <w:szCs w:val="22"/>
      <w:lang w:eastAsia="en-US"/>
    </w:rPr>
  </w:style>
  <w:style w:type="paragraph" w:styleId="8">
    <w:name w:val="heading 8"/>
    <w:basedOn w:val="a"/>
    <w:next w:val="a"/>
    <w:link w:val="80"/>
    <w:uiPriority w:val="9"/>
    <w:semiHidden/>
    <w:unhideWhenUsed/>
    <w:qFormat/>
    <w:rsid w:val="00E75629"/>
    <w:pPr>
      <w:keepNext/>
      <w:keepLines/>
      <w:spacing w:before="200" w:line="276" w:lineRule="auto"/>
      <w:outlineLvl w:val="7"/>
    </w:pPr>
    <w:rPr>
      <w:rFonts w:asciiTheme="majorHAnsi" w:eastAsiaTheme="majorEastAsia" w:hAnsiTheme="majorHAnsi" w:cstheme="majorBidi"/>
      <w:color w:val="404040" w:themeColor="text1" w:themeTint="BF"/>
      <w:sz w:val="20"/>
      <w:szCs w:val="20"/>
      <w:lang w:eastAsia="en-US"/>
    </w:rPr>
  </w:style>
  <w:style w:type="paragraph" w:styleId="9">
    <w:name w:val="heading 9"/>
    <w:basedOn w:val="a"/>
    <w:next w:val="a"/>
    <w:link w:val="90"/>
    <w:uiPriority w:val="9"/>
    <w:semiHidden/>
    <w:unhideWhenUsed/>
    <w:qFormat/>
    <w:rsid w:val="00E7562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562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E7562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E7562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E75629"/>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E75629"/>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E75629"/>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E75629"/>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E75629"/>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E7562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E75629"/>
    <w:pPr>
      <w:spacing w:after="200"/>
    </w:pPr>
    <w:rPr>
      <w:rFonts w:asciiTheme="minorHAnsi" w:eastAsiaTheme="minorHAnsi" w:hAnsiTheme="minorHAnsi" w:cstheme="minorBidi"/>
      <w:b/>
      <w:bCs/>
      <w:color w:val="4F81BD" w:themeColor="accent1"/>
      <w:sz w:val="18"/>
      <w:szCs w:val="18"/>
      <w:lang w:eastAsia="en-US"/>
    </w:rPr>
  </w:style>
  <w:style w:type="paragraph" w:styleId="a4">
    <w:name w:val="Title"/>
    <w:basedOn w:val="a"/>
    <w:next w:val="a"/>
    <w:link w:val="a5"/>
    <w:uiPriority w:val="10"/>
    <w:qFormat/>
    <w:rsid w:val="00E7562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5">
    <w:name w:val="Название Знак"/>
    <w:basedOn w:val="a0"/>
    <w:link w:val="a4"/>
    <w:uiPriority w:val="10"/>
    <w:rsid w:val="00E75629"/>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E75629"/>
    <w:pPr>
      <w:numPr>
        <w:ilvl w:val="1"/>
      </w:numPr>
      <w:spacing w:after="200" w:line="276" w:lineRule="auto"/>
    </w:pPr>
    <w:rPr>
      <w:rFonts w:asciiTheme="majorHAnsi" w:eastAsiaTheme="majorEastAsia" w:hAnsiTheme="majorHAnsi" w:cstheme="majorBidi"/>
      <w:i/>
      <w:iCs/>
      <w:color w:val="4F81BD" w:themeColor="accent1"/>
      <w:spacing w:val="15"/>
      <w:lang w:eastAsia="en-US"/>
    </w:rPr>
  </w:style>
  <w:style w:type="character" w:customStyle="1" w:styleId="a7">
    <w:name w:val="Подзаголовок Знак"/>
    <w:basedOn w:val="a0"/>
    <w:link w:val="a6"/>
    <w:uiPriority w:val="11"/>
    <w:rsid w:val="00E75629"/>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E75629"/>
    <w:rPr>
      <w:b/>
      <w:bCs/>
    </w:rPr>
  </w:style>
  <w:style w:type="character" w:styleId="a9">
    <w:name w:val="Emphasis"/>
    <w:basedOn w:val="a0"/>
    <w:uiPriority w:val="20"/>
    <w:qFormat/>
    <w:rsid w:val="00E75629"/>
    <w:rPr>
      <w:i/>
      <w:iCs/>
    </w:rPr>
  </w:style>
  <w:style w:type="paragraph" w:styleId="aa">
    <w:name w:val="No Spacing"/>
    <w:link w:val="ab"/>
    <w:uiPriority w:val="1"/>
    <w:qFormat/>
    <w:rsid w:val="00E75629"/>
    <w:pPr>
      <w:spacing w:after="0" w:line="240" w:lineRule="auto"/>
    </w:pPr>
  </w:style>
  <w:style w:type="character" w:customStyle="1" w:styleId="ab">
    <w:name w:val="Без интервала Знак"/>
    <w:basedOn w:val="a0"/>
    <w:link w:val="aa"/>
    <w:uiPriority w:val="1"/>
    <w:rsid w:val="00E75629"/>
  </w:style>
  <w:style w:type="paragraph" w:styleId="ac">
    <w:name w:val="List Paragraph"/>
    <w:basedOn w:val="a"/>
    <w:uiPriority w:val="34"/>
    <w:qFormat/>
    <w:rsid w:val="00E75629"/>
    <w:pPr>
      <w:spacing w:after="200" w:line="276" w:lineRule="auto"/>
      <w:ind w:left="720"/>
      <w:contextualSpacing/>
    </w:pPr>
    <w:rPr>
      <w:rFonts w:asciiTheme="minorHAnsi" w:eastAsiaTheme="minorHAnsi" w:hAnsiTheme="minorHAnsi" w:cstheme="minorBidi"/>
      <w:szCs w:val="22"/>
      <w:lang w:eastAsia="en-US"/>
    </w:rPr>
  </w:style>
  <w:style w:type="paragraph" w:styleId="21">
    <w:name w:val="Quote"/>
    <w:basedOn w:val="a"/>
    <w:next w:val="a"/>
    <w:link w:val="22"/>
    <w:uiPriority w:val="29"/>
    <w:qFormat/>
    <w:rsid w:val="00E75629"/>
    <w:pPr>
      <w:spacing w:after="200" w:line="276" w:lineRule="auto"/>
    </w:pPr>
    <w:rPr>
      <w:rFonts w:asciiTheme="minorHAnsi" w:eastAsiaTheme="minorHAnsi" w:hAnsiTheme="minorHAnsi" w:cstheme="minorBidi"/>
      <w:i/>
      <w:iCs/>
      <w:color w:val="000000" w:themeColor="text1"/>
      <w:szCs w:val="22"/>
      <w:lang w:eastAsia="en-US"/>
    </w:rPr>
  </w:style>
  <w:style w:type="character" w:customStyle="1" w:styleId="22">
    <w:name w:val="Цитата 2 Знак"/>
    <w:basedOn w:val="a0"/>
    <w:link w:val="21"/>
    <w:uiPriority w:val="29"/>
    <w:rsid w:val="00E75629"/>
    <w:rPr>
      <w:i/>
      <w:iCs/>
      <w:color w:val="000000" w:themeColor="text1"/>
    </w:rPr>
  </w:style>
  <w:style w:type="paragraph" w:styleId="ad">
    <w:name w:val="Intense Quote"/>
    <w:basedOn w:val="a"/>
    <w:next w:val="a"/>
    <w:link w:val="ae"/>
    <w:uiPriority w:val="30"/>
    <w:qFormat/>
    <w:rsid w:val="00E75629"/>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Cs w:val="22"/>
      <w:lang w:eastAsia="en-US"/>
    </w:rPr>
  </w:style>
  <w:style w:type="character" w:customStyle="1" w:styleId="ae">
    <w:name w:val="Выделенная цитата Знак"/>
    <w:basedOn w:val="a0"/>
    <w:link w:val="ad"/>
    <w:uiPriority w:val="30"/>
    <w:rsid w:val="00E75629"/>
    <w:rPr>
      <w:b/>
      <w:bCs/>
      <w:i/>
      <w:iCs/>
      <w:color w:val="4F81BD" w:themeColor="accent1"/>
    </w:rPr>
  </w:style>
  <w:style w:type="character" w:styleId="af">
    <w:name w:val="Subtle Emphasis"/>
    <w:basedOn w:val="a0"/>
    <w:uiPriority w:val="19"/>
    <w:qFormat/>
    <w:rsid w:val="00E75629"/>
    <w:rPr>
      <w:i/>
      <w:iCs/>
      <w:color w:val="808080" w:themeColor="text1" w:themeTint="7F"/>
    </w:rPr>
  </w:style>
  <w:style w:type="character" w:styleId="af0">
    <w:name w:val="Intense Emphasis"/>
    <w:basedOn w:val="a0"/>
    <w:uiPriority w:val="21"/>
    <w:qFormat/>
    <w:rsid w:val="00E75629"/>
    <w:rPr>
      <w:b/>
      <w:bCs/>
      <w:i/>
      <w:iCs/>
      <w:color w:val="4F81BD" w:themeColor="accent1"/>
    </w:rPr>
  </w:style>
  <w:style w:type="character" w:styleId="af1">
    <w:name w:val="Subtle Reference"/>
    <w:basedOn w:val="a0"/>
    <w:uiPriority w:val="31"/>
    <w:qFormat/>
    <w:rsid w:val="00E75629"/>
    <w:rPr>
      <w:smallCaps/>
      <w:color w:val="C0504D" w:themeColor="accent2"/>
      <w:u w:val="single"/>
    </w:rPr>
  </w:style>
  <w:style w:type="character" w:styleId="af2">
    <w:name w:val="Intense Reference"/>
    <w:basedOn w:val="a0"/>
    <w:uiPriority w:val="32"/>
    <w:qFormat/>
    <w:rsid w:val="00E75629"/>
    <w:rPr>
      <w:b/>
      <w:bCs/>
      <w:smallCaps/>
      <w:color w:val="C0504D" w:themeColor="accent2"/>
      <w:spacing w:val="5"/>
      <w:u w:val="single"/>
    </w:rPr>
  </w:style>
  <w:style w:type="character" w:styleId="af3">
    <w:name w:val="Book Title"/>
    <w:basedOn w:val="a0"/>
    <w:uiPriority w:val="33"/>
    <w:qFormat/>
    <w:rsid w:val="00E75629"/>
    <w:rPr>
      <w:b/>
      <w:bCs/>
      <w:smallCaps/>
      <w:spacing w:val="5"/>
    </w:rPr>
  </w:style>
  <w:style w:type="paragraph" w:styleId="af4">
    <w:name w:val="TOC Heading"/>
    <w:basedOn w:val="1"/>
    <w:next w:val="a"/>
    <w:uiPriority w:val="39"/>
    <w:semiHidden/>
    <w:unhideWhenUsed/>
    <w:qFormat/>
    <w:rsid w:val="00E75629"/>
    <w:pPr>
      <w:outlineLvl w:val="9"/>
    </w:pPr>
  </w:style>
  <w:style w:type="table" w:styleId="af5">
    <w:name w:val="Table Grid"/>
    <w:basedOn w:val="a1"/>
    <w:uiPriority w:val="59"/>
    <w:rsid w:val="002272B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6">
    <w:name w:val="Normal (Web)"/>
    <w:basedOn w:val="a"/>
    <w:rsid w:val="002272B7"/>
    <w:pPr>
      <w:spacing w:before="100" w:beforeAutospacing="1" w:after="100" w:afterAutospacing="1"/>
    </w:pPr>
  </w:style>
  <w:style w:type="paragraph" w:customStyle="1" w:styleId="11">
    <w:name w:val="Абзац списка1"/>
    <w:basedOn w:val="a"/>
    <w:rsid w:val="002272B7"/>
    <w:pPr>
      <w:spacing w:after="200" w:line="276" w:lineRule="auto"/>
      <w:ind w:left="720"/>
      <w:contextualSpacing/>
    </w:pPr>
    <w:rPr>
      <w:rFonts w:ascii="Calibri" w:hAnsi="Calibri"/>
      <w:sz w:val="22"/>
      <w:szCs w:val="22"/>
      <w:lang w:eastAsia="en-US"/>
    </w:rPr>
  </w:style>
  <w:style w:type="paragraph" w:styleId="HTML">
    <w:name w:val="HTML Preformatted"/>
    <w:basedOn w:val="a"/>
    <w:link w:val="HTML0"/>
    <w:rsid w:val="00227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2272B7"/>
    <w:rPr>
      <w:rFonts w:ascii="Courier New" w:eastAsia="Times New Roman" w:hAnsi="Courier New" w:cs="Courier New"/>
      <w:sz w:val="20"/>
      <w:szCs w:val="20"/>
      <w:lang w:eastAsia="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2">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7173</Words>
  <Characters>4089</Characters>
  <Application>Microsoft Office Word</Application>
  <DocSecurity>0</DocSecurity>
  <Lines>34</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Гончарук Наталья</dc:creator>
  <cp:lastModifiedBy>Гончарук Наталья</cp:lastModifiedBy>
  <cp:revision>6</cp:revision>
  <dcterms:created xsi:type="dcterms:W3CDTF">2015-07-13T10:54:00Z</dcterms:created>
  <dcterms:modified xsi:type="dcterms:W3CDTF">2015-07-13T11:45:00Z</dcterms:modified>
</cp:coreProperties>
</file>