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1BB" w:rsidRDefault="004021BB" w:rsidP="0097476A">
      <w:pPr>
        <w:jc w:val="center"/>
        <w:rPr>
          <w:b/>
        </w:rPr>
      </w:pPr>
      <w:bookmarkStart w:id="0" w:name="_GoBack"/>
      <w:bookmarkEnd w:id="0"/>
      <w:r>
        <w:rPr>
          <w:b/>
        </w:rPr>
        <w:t xml:space="preserve">Результати </w:t>
      </w:r>
      <w:r w:rsidRPr="0097476A">
        <w:rPr>
          <w:b/>
        </w:rPr>
        <w:t>тестування</w:t>
      </w:r>
      <w:r>
        <w:rPr>
          <w:b/>
        </w:rPr>
        <w:t xml:space="preserve"> </w:t>
      </w:r>
      <w:r w:rsidRPr="004021BB">
        <w:rPr>
          <w:b/>
        </w:rPr>
        <w:t>ПАРД&amp;АФП</w:t>
      </w:r>
      <w:r w:rsidRPr="0097476A">
        <w:rPr>
          <w:b/>
        </w:rPr>
        <w:t xml:space="preserve"> нової методології розрахунку пруденційних нормативів</w:t>
      </w:r>
      <w:r>
        <w:rPr>
          <w:b/>
        </w:rPr>
        <w:t xml:space="preserve"> торговців цінними паперами</w:t>
      </w:r>
    </w:p>
    <w:p w:rsidR="004021BB" w:rsidRPr="004021BB" w:rsidRDefault="004021BB" w:rsidP="004021BB">
      <w:pPr>
        <w:rPr>
          <w:b/>
        </w:rPr>
      </w:pPr>
      <w:r w:rsidRPr="004021BB">
        <w:rPr>
          <w:b/>
        </w:rPr>
        <w:t>Загальна інформація</w:t>
      </w:r>
    </w:p>
    <w:p w:rsidR="004021BB" w:rsidRDefault="00A0247F" w:rsidP="00AC307C">
      <w:pPr>
        <w:jc w:val="both"/>
      </w:pPr>
      <w:r>
        <w:t>В тестуванні взяли участь 1</w:t>
      </w:r>
      <w:r w:rsidR="00257018">
        <w:t>6</w:t>
      </w:r>
      <w:r>
        <w:t xml:space="preserve"> торговців цінними паперами</w:t>
      </w:r>
      <w:r w:rsidR="00257018">
        <w:t xml:space="preserve">. </w:t>
      </w:r>
      <w:r>
        <w:t xml:space="preserve"> </w:t>
      </w:r>
      <w:r w:rsidR="001B329B">
        <w:t xml:space="preserve">З них у п’яти компаній зафіксовано від’ємне значення регулятивного капіталу та відповідно не відповідають нормі всі інші показники. </w:t>
      </w:r>
    </w:p>
    <w:p w:rsidR="004021BB" w:rsidRPr="00F20AEB" w:rsidRDefault="004021BB" w:rsidP="004021BB">
      <w:pPr>
        <w:rPr>
          <w:b/>
        </w:rPr>
      </w:pPr>
      <w:r w:rsidRPr="0097476A">
        <w:rPr>
          <w:b/>
        </w:rPr>
        <w:t>Зауваження та коментарі ПАРД</w:t>
      </w:r>
      <w:r w:rsidRPr="00F20AEB">
        <w:rPr>
          <w:b/>
        </w:rPr>
        <w:t>&amp;</w:t>
      </w:r>
      <w:r w:rsidR="00F01EC2" w:rsidRPr="00F20AEB">
        <w:rPr>
          <w:b/>
        </w:rPr>
        <w:t>АФП</w:t>
      </w:r>
    </w:p>
    <w:p w:rsidR="00012185" w:rsidRDefault="00012185" w:rsidP="00012185">
      <w:pPr>
        <w:jc w:val="both"/>
      </w:pPr>
      <w:r>
        <w:t xml:space="preserve">1. Основною причиною відхилення </w:t>
      </w:r>
      <w:r w:rsidRPr="00CD1C33">
        <w:rPr>
          <w:b/>
          <w:u w:val="single"/>
        </w:rPr>
        <w:t>регулятивного капіталу та показників його адекватності</w:t>
      </w:r>
      <w:r>
        <w:t xml:space="preserve"> від норми є в першу чергу наявність дебіторської заборгованості та в другу чергу цінних паперів, що не перебувають в біржовому реєстрі фондових бірж. </w:t>
      </w:r>
    </w:p>
    <w:p w:rsidR="00AD0279" w:rsidRDefault="00012185" w:rsidP="00012185">
      <w:pPr>
        <w:jc w:val="both"/>
      </w:pPr>
      <w:r>
        <w:rPr>
          <w:lang w:val="en-US"/>
        </w:rPr>
        <w:t>i</w:t>
      </w:r>
      <w:r w:rsidRPr="00012185">
        <w:rPr>
          <w:lang w:val="ru-RU"/>
        </w:rPr>
        <w:t xml:space="preserve">) </w:t>
      </w:r>
      <w:r w:rsidRPr="00012185">
        <w:rPr>
          <w:i/>
        </w:rPr>
        <w:t xml:space="preserve">Щодо дебіторської заборгованості при розрахунку </w:t>
      </w:r>
      <w:r w:rsidR="00617FEE">
        <w:rPr>
          <w:i/>
        </w:rPr>
        <w:t xml:space="preserve">регулятивного капіталу та </w:t>
      </w:r>
      <w:r w:rsidRPr="00012185">
        <w:rPr>
          <w:i/>
        </w:rPr>
        <w:t>показників адекватності регулятивного капіталу.</w:t>
      </w:r>
      <w:r>
        <w:t xml:space="preserve"> Грошові кошти торговця цінними паперами, заблоковані для торгів на фондовій біржі, потрапляють в різні категорії активів</w:t>
      </w:r>
      <w:r w:rsidR="00020F78">
        <w:t>. Якщо планується здійснення операцій на спотовому ринку, то грошові кошти блокуються в Розрахунковому центрі, який має статус банку, тому в бухгалтерському обліку вони відображаються на рахунку 1165А (</w:t>
      </w:r>
      <w:r w:rsidR="005F3F6E">
        <w:t xml:space="preserve">№ рахунку </w:t>
      </w:r>
      <w:r w:rsidR="00020F78">
        <w:t>згідно моделі) з коефіцієнтом 0%. Якщо планується здійснити операцію на тій же фондовій біржі, проте на строковому ринку, то грошові кошти блокуються на фондовій біржі та</w:t>
      </w:r>
      <w:r w:rsidR="00AD0279">
        <w:t xml:space="preserve"> відображаються</w:t>
      </w:r>
      <w:r w:rsidR="00020F78">
        <w:t xml:space="preserve"> в обліку як інші дебіторська заборгованість з коефіцієнтом 20%.  </w:t>
      </w:r>
    </w:p>
    <w:p w:rsidR="007302F4" w:rsidRDefault="00AD0279" w:rsidP="00012185">
      <w:pPr>
        <w:jc w:val="both"/>
      </w:pPr>
      <w:r w:rsidRPr="00AD0279">
        <w:rPr>
          <w:b/>
        </w:rPr>
        <w:t>Пропонується</w:t>
      </w:r>
      <w:r>
        <w:t xml:space="preserve"> </w:t>
      </w:r>
      <w:r w:rsidR="00020F78">
        <w:t xml:space="preserve"> </w:t>
      </w:r>
    </w:p>
    <w:p w:rsidR="00012185" w:rsidRDefault="00AD0279" w:rsidP="007302F4">
      <w:pPr>
        <w:pStyle w:val="a3"/>
        <w:numPr>
          <w:ilvl w:val="0"/>
          <w:numId w:val="7"/>
        </w:numPr>
        <w:jc w:val="both"/>
      </w:pPr>
      <w:r>
        <w:t xml:space="preserve">визначити однакові коефіцієнти для зваження грошових коштів, заблокованих </w:t>
      </w:r>
      <w:r w:rsidR="007302F4">
        <w:t>для торгівлі на фондовій біржі;</w:t>
      </w:r>
    </w:p>
    <w:p w:rsidR="007302F4" w:rsidRPr="00020F78" w:rsidRDefault="007302F4" w:rsidP="007302F4">
      <w:pPr>
        <w:pStyle w:val="a3"/>
        <w:numPr>
          <w:ilvl w:val="0"/>
          <w:numId w:val="7"/>
        </w:numPr>
        <w:jc w:val="both"/>
      </w:pPr>
      <w:r>
        <w:t>виключити довгострокову дебіторську заборгованість, термін оплати якої не настав, з переліку активів, що зменшують розмір капіталу першого рівня.</w:t>
      </w:r>
    </w:p>
    <w:p w:rsidR="003B0045" w:rsidRDefault="00012185" w:rsidP="00BA1406">
      <w:pPr>
        <w:jc w:val="both"/>
      </w:pPr>
      <w:r w:rsidRPr="00BA1406">
        <w:t xml:space="preserve">ii) </w:t>
      </w:r>
      <w:r w:rsidR="00AD0279" w:rsidRPr="00BA1406">
        <w:rPr>
          <w:i/>
        </w:rPr>
        <w:t>Щодо позалістингових цінних паперів</w:t>
      </w:r>
      <w:r w:rsidR="00F265A5">
        <w:rPr>
          <w:i/>
        </w:rPr>
        <w:t xml:space="preserve"> для цілей розрахунку регулятивного капіталу та показників адекватності</w:t>
      </w:r>
      <w:r w:rsidR="00BA1406" w:rsidRPr="00BA1406">
        <w:t xml:space="preserve">. </w:t>
      </w:r>
      <w:r w:rsidR="00832DD0">
        <w:t>Результати тестування продемонстрували, що з</w:t>
      </w:r>
      <w:r w:rsidR="00BA1406" w:rsidRPr="00BA1406">
        <w:t>меншення переліку цінних паперів, які не впливають негативно на розмір регулятивного капіталу</w:t>
      </w:r>
      <w:r w:rsidR="00EB4954">
        <w:t xml:space="preserve"> та його адекватність</w:t>
      </w:r>
      <w:r w:rsidR="00BA1406" w:rsidRPr="00BA1406">
        <w:t>, суттєво у</w:t>
      </w:r>
      <w:r w:rsidR="00BA1406">
        <w:t>с</w:t>
      </w:r>
      <w:r w:rsidR="00BA1406" w:rsidRPr="00BA1406">
        <w:t>кладнює досягнення нормативів.</w:t>
      </w:r>
      <w:r w:rsidR="00832DD0">
        <w:t xml:space="preserve"> </w:t>
      </w:r>
      <w:r w:rsidR="00BA1406" w:rsidRPr="00BA1406">
        <w:t xml:space="preserve"> З урахуванням встановлення значно</w:t>
      </w:r>
      <w:r w:rsidR="00AD0279" w:rsidRPr="00BA1406">
        <w:t xml:space="preserve"> </w:t>
      </w:r>
      <w:r w:rsidR="00BA1406" w:rsidRPr="00BA1406">
        <w:t>жорсткіших критеріїв лістингу з 01.01.201</w:t>
      </w:r>
      <w:r w:rsidR="00F265A5">
        <w:t>6</w:t>
      </w:r>
      <w:r w:rsidR="00BA1406" w:rsidRPr="00BA1406">
        <w:t xml:space="preserve"> року, </w:t>
      </w:r>
      <w:r w:rsidR="00AD0279" w:rsidRPr="00BA1406">
        <w:t xml:space="preserve"> </w:t>
      </w:r>
      <w:r w:rsidR="00EB4954">
        <w:t xml:space="preserve">це завдання стане ще складнішим. </w:t>
      </w:r>
      <w:r w:rsidR="00F265A5">
        <w:t xml:space="preserve">Згідно проекту Положення планується, що нові правила наберуть чинності з 01.01.2016 року, тобто одночасно з новими критеріями лістингу. Вірогідно, що </w:t>
      </w:r>
      <w:r w:rsidR="003B0045">
        <w:t>одночасна зміна правил у двох зазначених сферах без перехідного періоду, спричинить масові порушення нормативів, оскільки відсутня можливість прогнозування способів утримання показників в нормі, адже невідомо які цінні папери завтра будуть у лістингу, а які не будуть.</w:t>
      </w:r>
    </w:p>
    <w:p w:rsidR="00012185" w:rsidRPr="00BA1406" w:rsidRDefault="003B0045" w:rsidP="00BA1406">
      <w:pPr>
        <w:jc w:val="both"/>
      </w:pPr>
      <w:r w:rsidRPr="00832DD0">
        <w:rPr>
          <w:b/>
        </w:rPr>
        <w:t xml:space="preserve">Пропонується </w:t>
      </w:r>
      <w:r>
        <w:t>встановити перехідний період для набрання чинності новими вимогами щодо позалістингових цінних паперів. Наприклад, якщо нові критерії лістингу набирають чинності з 01.01.2016, то норм</w:t>
      </w:r>
      <w:r w:rsidR="00832DD0">
        <w:t>и</w:t>
      </w:r>
      <w:r>
        <w:t xml:space="preserve"> </w:t>
      </w:r>
      <w:r w:rsidR="00832DD0">
        <w:t xml:space="preserve">Положення щодо пруденційних нормативів, </w:t>
      </w:r>
      <w:r w:rsidR="00F265A5">
        <w:t xml:space="preserve"> </w:t>
      </w:r>
      <w:r w:rsidR="00832DD0">
        <w:t xml:space="preserve">які вимагають вчиняти якісь дії з позалістинговими цінними паперами (зменшувати капітал першого рівня, класифікувати за рівнем ризику для розрахунку показників адекватності), мають набирати чинності з 01.01.2017 року. </w:t>
      </w:r>
    </w:p>
    <w:p w:rsidR="00041740" w:rsidRDefault="00012185" w:rsidP="00041740">
      <w:pPr>
        <w:jc w:val="both"/>
      </w:pPr>
      <w:r>
        <w:t xml:space="preserve">2. </w:t>
      </w:r>
      <w:r w:rsidR="000B55BE">
        <w:t xml:space="preserve">Значення </w:t>
      </w:r>
      <w:r w:rsidR="000B55BE" w:rsidRPr="002151C9">
        <w:rPr>
          <w:b/>
          <w:u w:val="single"/>
        </w:rPr>
        <w:t>нормативу адекватності регулятивного капіталу</w:t>
      </w:r>
      <w:r w:rsidR="000B55BE">
        <w:t xml:space="preserve"> та нормативу адекватності капіталу першого рівня є ідентичними за винятком двох компаній, у яких капітал другого рівня пер</w:t>
      </w:r>
      <w:r w:rsidR="005C1296">
        <w:t xml:space="preserve">евищує капітал першого рівня. </w:t>
      </w:r>
    </w:p>
    <w:p w:rsidR="005C1296" w:rsidRDefault="005C1296" w:rsidP="00041740">
      <w:r w:rsidRPr="00041740">
        <w:rPr>
          <w:b/>
        </w:rPr>
        <w:t>Пропонується</w:t>
      </w:r>
      <w:r>
        <w:t xml:space="preserve"> відмовитись від одного з показників адекватності.</w:t>
      </w:r>
    </w:p>
    <w:p w:rsidR="00D25191" w:rsidRDefault="00012185" w:rsidP="00041740">
      <w:pPr>
        <w:jc w:val="both"/>
      </w:pPr>
      <w:r>
        <w:lastRenderedPageBreak/>
        <w:t>3</w:t>
      </w:r>
      <w:r w:rsidR="005C1296">
        <w:t xml:space="preserve">. </w:t>
      </w:r>
      <w:r w:rsidR="000B55BE">
        <w:t xml:space="preserve"> </w:t>
      </w:r>
      <w:r w:rsidR="00BE28B4">
        <w:t xml:space="preserve">Порушення нормативу </w:t>
      </w:r>
      <w:r w:rsidR="00BE28B4" w:rsidRPr="002151C9">
        <w:rPr>
          <w:b/>
          <w:u w:val="single"/>
        </w:rPr>
        <w:t>коефіцієнта фінансового левериджу</w:t>
      </w:r>
      <w:r w:rsidR="00BE28B4">
        <w:t xml:space="preserve"> </w:t>
      </w:r>
      <w:r w:rsidR="00043963">
        <w:t xml:space="preserve">згідно запропонованої моделі </w:t>
      </w:r>
      <w:r w:rsidR="00BE28B4">
        <w:t xml:space="preserve">зафіксовано тільки у трьох компаній. Проте вважаємо, що вказані результати не </w:t>
      </w:r>
      <w:r w:rsidR="005F3F6E">
        <w:t>репрезентативні</w:t>
      </w:r>
      <w:r w:rsidR="00BE28B4">
        <w:t>, оскільки формула розрахунку цього показника в запропонованій моделі передбачає ділення зобов’язань на регулятивний капітал</w:t>
      </w:r>
      <w:r w:rsidR="00043963">
        <w:t xml:space="preserve">, а нормативом вважається будь-яке (навіть від’ємне) значення коефіцієнта, що не перевищує одиниці. </w:t>
      </w:r>
      <w:r w:rsidR="00D25191">
        <w:t>Якщо ж від’ємне значення коефіцієнту врахувати як відхилення від нормативу, то порушення нормативу буде мати місце у восьми компаній</w:t>
      </w:r>
      <w:r w:rsidR="00776EED">
        <w:t xml:space="preserve"> (за рахунок п’яти компаній з від’ємним значенням регулятивного капіталу)</w:t>
      </w:r>
      <w:r w:rsidR="00D25191">
        <w:t xml:space="preserve">. </w:t>
      </w:r>
    </w:p>
    <w:p w:rsidR="00607120" w:rsidRDefault="00043963" w:rsidP="00041740">
      <w:pPr>
        <w:jc w:val="both"/>
      </w:pPr>
      <w:r>
        <w:t xml:space="preserve">В той же час, згідно проекту Положення для визначення цього коефіцієнта зобов’язання необхідно ділити на власний капітал (а не регулятивний), а нормою є значення в межах від 0 до 1. Якщо </w:t>
      </w:r>
      <w:r w:rsidR="00776EED">
        <w:t>перерахувати коефіцієнт фінансового левериджу відповідно до норм проекту Положення як зобов’язання згідно балансу станом на кінець звітного періоду розділені на власний капітал (підсумок розділу І пасиву балансу) станом на кінець звітного періоду, то відхилення буде тільки у двох компаній</w:t>
      </w:r>
      <w:r w:rsidR="0036224B">
        <w:t xml:space="preserve"> (при цьому у одної з компаній всі інші показники в нормі)</w:t>
      </w:r>
      <w:r w:rsidR="00776EED">
        <w:t xml:space="preserve">. </w:t>
      </w:r>
      <w:r w:rsidR="0036224B">
        <w:t>При такому розрахунку</w:t>
      </w:r>
      <w:r w:rsidR="00776EED">
        <w:t xml:space="preserve"> </w:t>
      </w:r>
      <w:r w:rsidR="00041740">
        <w:t>від’ємних</w:t>
      </w:r>
      <w:r w:rsidR="00776EED">
        <w:t xml:space="preserve"> значень коефіцієнту не </w:t>
      </w:r>
      <w:r w:rsidR="00041740">
        <w:t xml:space="preserve">буде, оскільки власний капітал </w:t>
      </w:r>
      <w:r w:rsidR="00150EE8">
        <w:t xml:space="preserve">не може бути меншим за мінімальний розмір статутного капіталу, передбачений законодавством для цього виду діяльності. </w:t>
      </w:r>
    </w:p>
    <w:p w:rsidR="00AC307C" w:rsidRDefault="00012185" w:rsidP="00041740">
      <w:pPr>
        <w:jc w:val="both"/>
      </w:pPr>
      <w:r>
        <w:t>4</w:t>
      </w:r>
      <w:r w:rsidR="00041740">
        <w:t xml:space="preserve">. </w:t>
      </w:r>
      <w:r w:rsidR="002151C9">
        <w:t xml:space="preserve">Для розрахунку </w:t>
      </w:r>
      <w:r w:rsidR="002151C9" w:rsidRPr="00465AFA">
        <w:rPr>
          <w:b/>
          <w:u w:val="single"/>
        </w:rPr>
        <w:t>коефіцієнта покриття середньомісячних витрат</w:t>
      </w:r>
      <w:r w:rsidR="002151C9">
        <w:t xml:space="preserve"> необхідно визначити сукупні витрати за рік. Проект Положення не містить визначення поняття «сукупні витрати».  </w:t>
      </w:r>
      <w:r w:rsidR="00AB3626">
        <w:t xml:space="preserve">У запропонованій моделі розрахунку сукупні витрати складаються з адміністративних витрат, витрат на збут, інших операційних витрат, собівартості реалізованої продукції, робіт, послуг, фінансових витрат та інших витрат. </w:t>
      </w:r>
    </w:p>
    <w:p w:rsidR="00041740" w:rsidRPr="006C5C4B" w:rsidRDefault="006C5C4B" w:rsidP="00041740">
      <w:pPr>
        <w:jc w:val="both"/>
      </w:pPr>
      <w:r>
        <w:t>Звертаємо увагу на те, що «Інші витрати» включають с</w:t>
      </w:r>
      <w:r w:rsidRPr="006C5C4B">
        <w:t>обівартість реалізованих фінансових інвестицій</w:t>
      </w:r>
      <w:r>
        <w:t xml:space="preserve">, тобто витрати на придбання цінних паперів при веденні дилерської діяльності. Якщо цей коефіцієнт призначений для того, щоб </w:t>
      </w:r>
      <w:r w:rsidR="0054236F">
        <w:t>визначити здатність торговця за відсутності притоку коштів покривати високоліквідними активами свої місячні витрати на підтримання операційної діяльності, то виникають сумніви стосовно коректності підходу, при якому враховуються витрати минулого року на придбання цінних паперів.</w:t>
      </w:r>
    </w:p>
    <w:p w:rsidR="00465AFA" w:rsidRDefault="00465AFA" w:rsidP="00041740">
      <w:pPr>
        <w:jc w:val="both"/>
      </w:pPr>
      <w:r>
        <w:t xml:space="preserve">Відхилення від нормативу зафіксовано у чотирьох компаній, при цьому у однієї з них всі інші показники в нормі. </w:t>
      </w:r>
    </w:p>
    <w:p w:rsidR="00AB3626" w:rsidRDefault="00AB3626" w:rsidP="00041740">
      <w:pPr>
        <w:jc w:val="both"/>
      </w:pPr>
      <w:r w:rsidRPr="00B22086">
        <w:rPr>
          <w:b/>
        </w:rPr>
        <w:t>Пропонуємо</w:t>
      </w:r>
      <w:r>
        <w:t xml:space="preserve"> надати визначення поняття «сукупні витрати» в Положенні та </w:t>
      </w:r>
      <w:r w:rsidR="00333EC8">
        <w:t xml:space="preserve">чітко </w:t>
      </w:r>
      <w:r>
        <w:t xml:space="preserve">визначити їх складові. </w:t>
      </w:r>
      <w:r w:rsidR="00AC307C">
        <w:t>До складових пропонується не відносити собівартість реалізованих фінансових інвестицій.</w:t>
      </w:r>
    </w:p>
    <w:p w:rsidR="00AC307C" w:rsidRDefault="00012185" w:rsidP="00041740">
      <w:pPr>
        <w:jc w:val="both"/>
      </w:pPr>
      <w:r>
        <w:t>5</w:t>
      </w:r>
      <w:r w:rsidR="00AC307C">
        <w:t xml:space="preserve">. </w:t>
      </w:r>
      <w:r w:rsidR="006828AC">
        <w:t>Проектом передбачено, що депозитарні установи та торговці цінними паперами, що поєдную</w:t>
      </w:r>
      <w:r w:rsidR="0006797F">
        <w:t>ть</w:t>
      </w:r>
      <w:r w:rsidR="006828AC">
        <w:t xml:space="preserve"> свою діяльність з депозитарною діяльністю депозитарної установи, повинні розраховувати </w:t>
      </w:r>
      <w:r w:rsidR="006828AC" w:rsidRPr="0006797F">
        <w:rPr>
          <w:b/>
          <w:u w:val="single"/>
        </w:rPr>
        <w:t>коефіцієнт покриття операційного ризику</w:t>
      </w:r>
      <w:r w:rsidR="006828AC">
        <w:t>. Моделлю для тестування нової методології розрахунок такого показника не був передбачений, тому результатів розрахунку цього</w:t>
      </w:r>
      <w:r w:rsidR="0006797F">
        <w:t xml:space="preserve"> показника немає. </w:t>
      </w:r>
    </w:p>
    <w:p w:rsidR="0006797F" w:rsidRDefault="0006797F" w:rsidP="00041740">
      <w:pPr>
        <w:jc w:val="both"/>
      </w:pPr>
      <w:r>
        <w:t>Водночас, залишились без відповіді наступні запитання:</w:t>
      </w:r>
    </w:p>
    <w:p w:rsidR="0006797F" w:rsidRDefault="0006797F" w:rsidP="0006797F">
      <w:pPr>
        <w:pStyle w:val="a3"/>
        <w:numPr>
          <w:ilvl w:val="0"/>
          <w:numId w:val="5"/>
        </w:numPr>
        <w:jc w:val="both"/>
      </w:pPr>
      <w:r>
        <w:t>Чи розраховується коефіцієнт, якщо протягом попередніх трьох років у компанії відсутній позитивний нетто-дохід?</w:t>
      </w:r>
    </w:p>
    <w:p w:rsidR="0006797F" w:rsidRPr="00F01EC2" w:rsidRDefault="0006797F" w:rsidP="0006797F">
      <w:pPr>
        <w:pStyle w:val="a3"/>
        <w:numPr>
          <w:ilvl w:val="0"/>
          <w:numId w:val="5"/>
        </w:numPr>
        <w:jc w:val="both"/>
      </w:pPr>
      <w:r>
        <w:t xml:space="preserve">Проектом встановлено, що «до нетто-доходу установи не включаються результати разових операцій, що не повторюються…». </w:t>
      </w:r>
      <w:r w:rsidR="00155201">
        <w:t>Які саме операції вважати разовими та такими, що не повторюються, зважаючи на те, що звичайна діяльність торговця або депозитарної установи передбачає проведення необмеженої кількості разових операцій з різними цінними паперами?</w:t>
      </w:r>
      <w:r>
        <w:t xml:space="preserve">  </w:t>
      </w:r>
    </w:p>
    <w:p w:rsidR="0097476A" w:rsidRDefault="0097476A"/>
    <w:sectPr w:rsidR="0097476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30168"/>
    <w:multiLevelType w:val="hybridMultilevel"/>
    <w:tmpl w:val="5DB4219A"/>
    <w:lvl w:ilvl="0" w:tplc="B6CE9436">
      <w:start w:val="1"/>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DFB0DBC"/>
    <w:multiLevelType w:val="hybridMultilevel"/>
    <w:tmpl w:val="83C2089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01767A6"/>
    <w:multiLevelType w:val="hybridMultilevel"/>
    <w:tmpl w:val="1354E00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0B24E24"/>
    <w:multiLevelType w:val="hybridMultilevel"/>
    <w:tmpl w:val="BEE841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61635A96"/>
    <w:multiLevelType w:val="hybridMultilevel"/>
    <w:tmpl w:val="8402A0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866704F"/>
    <w:multiLevelType w:val="hybridMultilevel"/>
    <w:tmpl w:val="C0A87C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C802B28"/>
    <w:multiLevelType w:val="hybridMultilevel"/>
    <w:tmpl w:val="DB9434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76A"/>
    <w:rsid w:val="00012185"/>
    <w:rsid w:val="00012B8C"/>
    <w:rsid w:val="00017347"/>
    <w:rsid w:val="00020F78"/>
    <w:rsid w:val="000222B7"/>
    <w:rsid w:val="00022E19"/>
    <w:rsid w:val="00023246"/>
    <w:rsid w:val="00025655"/>
    <w:rsid w:val="00025874"/>
    <w:rsid w:val="00025FBA"/>
    <w:rsid w:val="000272F0"/>
    <w:rsid w:val="000304FE"/>
    <w:rsid w:val="000318BD"/>
    <w:rsid w:val="000332CF"/>
    <w:rsid w:val="00036B41"/>
    <w:rsid w:val="0004022B"/>
    <w:rsid w:val="00041740"/>
    <w:rsid w:val="00042D42"/>
    <w:rsid w:val="00043963"/>
    <w:rsid w:val="00047E52"/>
    <w:rsid w:val="00052AF8"/>
    <w:rsid w:val="000554EF"/>
    <w:rsid w:val="00056E28"/>
    <w:rsid w:val="00062343"/>
    <w:rsid w:val="000630EA"/>
    <w:rsid w:val="0006797F"/>
    <w:rsid w:val="00082E82"/>
    <w:rsid w:val="0008407F"/>
    <w:rsid w:val="000910B5"/>
    <w:rsid w:val="00092B19"/>
    <w:rsid w:val="000A6F05"/>
    <w:rsid w:val="000B18A4"/>
    <w:rsid w:val="000B4282"/>
    <w:rsid w:val="000B55BE"/>
    <w:rsid w:val="000B7F44"/>
    <w:rsid w:val="000C0F3C"/>
    <w:rsid w:val="000C442F"/>
    <w:rsid w:val="000C5C91"/>
    <w:rsid w:val="000C6F47"/>
    <w:rsid w:val="000D353F"/>
    <w:rsid w:val="000D4F0C"/>
    <w:rsid w:val="000E0EA0"/>
    <w:rsid w:val="000E0F51"/>
    <w:rsid w:val="000E16AF"/>
    <w:rsid w:val="000E3A51"/>
    <w:rsid w:val="000F0721"/>
    <w:rsid w:val="000F4779"/>
    <w:rsid w:val="000F71C8"/>
    <w:rsid w:val="000F7F46"/>
    <w:rsid w:val="0010752C"/>
    <w:rsid w:val="001118FC"/>
    <w:rsid w:val="00113B8B"/>
    <w:rsid w:val="001222DE"/>
    <w:rsid w:val="00124BD9"/>
    <w:rsid w:val="00132FCA"/>
    <w:rsid w:val="0014009C"/>
    <w:rsid w:val="00143062"/>
    <w:rsid w:val="00143F2B"/>
    <w:rsid w:val="00150EE8"/>
    <w:rsid w:val="0015459F"/>
    <w:rsid w:val="00155201"/>
    <w:rsid w:val="001568D3"/>
    <w:rsid w:val="001642B2"/>
    <w:rsid w:val="00171830"/>
    <w:rsid w:val="00174D40"/>
    <w:rsid w:val="0017646C"/>
    <w:rsid w:val="00183EB7"/>
    <w:rsid w:val="001856C0"/>
    <w:rsid w:val="00190B63"/>
    <w:rsid w:val="0019599A"/>
    <w:rsid w:val="001A1EA4"/>
    <w:rsid w:val="001A23F7"/>
    <w:rsid w:val="001A297F"/>
    <w:rsid w:val="001B329B"/>
    <w:rsid w:val="001C1035"/>
    <w:rsid w:val="001D154C"/>
    <w:rsid w:val="001E3711"/>
    <w:rsid w:val="001E5909"/>
    <w:rsid w:val="001F1241"/>
    <w:rsid w:val="001F5CC1"/>
    <w:rsid w:val="001F634F"/>
    <w:rsid w:val="00210431"/>
    <w:rsid w:val="002151C9"/>
    <w:rsid w:val="00217510"/>
    <w:rsid w:val="00222253"/>
    <w:rsid w:val="002253D3"/>
    <w:rsid w:val="002253E7"/>
    <w:rsid w:val="002315EA"/>
    <w:rsid w:val="00231D4C"/>
    <w:rsid w:val="00232215"/>
    <w:rsid w:val="002401E9"/>
    <w:rsid w:val="00242574"/>
    <w:rsid w:val="00244E8A"/>
    <w:rsid w:val="00247FF8"/>
    <w:rsid w:val="00250635"/>
    <w:rsid w:val="00250AC5"/>
    <w:rsid w:val="00251AE2"/>
    <w:rsid w:val="0025233C"/>
    <w:rsid w:val="00257018"/>
    <w:rsid w:val="0025744F"/>
    <w:rsid w:val="00274C6F"/>
    <w:rsid w:val="00275D82"/>
    <w:rsid w:val="00280E58"/>
    <w:rsid w:val="00282A34"/>
    <w:rsid w:val="002868F3"/>
    <w:rsid w:val="002874E1"/>
    <w:rsid w:val="002929EA"/>
    <w:rsid w:val="002945A3"/>
    <w:rsid w:val="002973DB"/>
    <w:rsid w:val="002A2E60"/>
    <w:rsid w:val="002B0F8A"/>
    <w:rsid w:val="002B2C52"/>
    <w:rsid w:val="002B5EB9"/>
    <w:rsid w:val="002C0674"/>
    <w:rsid w:val="002C0E8B"/>
    <w:rsid w:val="002D3FE0"/>
    <w:rsid w:val="002D6F48"/>
    <w:rsid w:val="002E03D3"/>
    <w:rsid w:val="002E5BBB"/>
    <w:rsid w:val="002E72E4"/>
    <w:rsid w:val="002E79D3"/>
    <w:rsid w:val="00300399"/>
    <w:rsid w:val="003079D2"/>
    <w:rsid w:val="003109DC"/>
    <w:rsid w:val="003138E5"/>
    <w:rsid w:val="0031423F"/>
    <w:rsid w:val="00315E70"/>
    <w:rsid w:val="003239C6"/>
    <w:rsid w:val="0032408F"/>
    <w:rsid w:val="0032507A"/>
    <w:rsid w:val="00327B88"/>
    <w:rsid w:val="003321A2"/>
    <w:rsid w:val="00333EC8"/>
    <w:rsid w:val="00340A12"/>
    <w:rsid w:val="003453FD"/>
    <w:rsid w:val="00346737"/>
    <w:rsid w:val="003478B9"/>
    <w:rsid w:val="00347AB5"/>
    <w:rsid w:val="00354A8E"/>
    <w:rsid w:val="003558DC"/>
    <w:rsid w:val="0035792E"/>
    <w:rsid w:val="0036224B"/>
    <w:rsid w:val="00365426"/>
    <w:rsid w:val="003679E4"/>
    <w:rsid w:val="00373187"/>
    <w:rsid w:val="00377D6A"/>
    <w:rsid w:val="003926B7"/>
    <w:rsid w:val="0039298D"/>
    <w:rsid w:val="003945D7"/>
    <w:rsid w:val="003A078C"/>
    <w:rsid w:val="003A1B7E"/>
    <w:rsid w:val="003A7EDC"/>
    <w:rsid w:val="003A7FD3"/>
    <w:rsid w:val="003B0045"/>
    <w:rsid w:val="003B334F"/>
    <w:rsid w:val="003C0F8E"/>
    <w:rsid w:val="003C2200"/>
    <w:rsid w:val="003C7B3B"/>
    <w:rsid w:val="003E3092"/>
    <w:rsid w:val="003E683E"/>
    <w:rsid w:val="003E7ACE"/>
    <w:rsid w:val="003F0025"/>
    <w:rsid w:val="003F4985"/>
    <w:rsid w:val="003F75E0"/>
    <w:rsid w:val="00400F42"/>
    <w:rsid w:val="0040158E"/>
    <w:rsid w:val="004021BB"/>
    <w:rsid w:val="004033B2"/>
    <w:rsid w:val="00417F5E"/>
    <w:rsid w:val="00427C29"/>
    <w:rsid w:val="00431066"/>
    <w:rsid w:val="004313C5"/>
    <w:rsid w:val="00433983"/>
    <w:rsid w:val="0043789F"/>
    <w:rsid w:val="00446816"/>
    <w:rsid w:val="004513C9"/>
    <w:rsid w:val="00453279"/>
    <w:rsid w:val="00457EE6"/>
    <w:rsid w:val="004603D9"/>
    <w:rsid w:val="00461564"/>
    <w:rsid w:val="00463DF3"/>
    <w:rsid w:val="00463F67"/>
    <w:rsid w:val="00465AFA"/>
    <w:rsid w:val="00467433"/>
    <w:rsid w:val="00471F8E"/>
    <w:rsid w:val="00474ED8"/>
    <w:rsid w:val="0047501C"/>
    <w:rsid w:val="00482C1D"/>
    <w:rsid w:val="00485DF1"/>
    <w:rsid w:val="00492DD0"/>
    <w:rsid w:val="004A068D"/>
    <w:rsid w:val="004A5919"/>
    <w:rsid w:val="004B6560"/>
    <w:rsid w:val="004B74A3"/>
    <w:rsid w:val="004B7DC2"/>
    <w:rsid w:val="004C5470"/>
    <w:rsid w:val="004E0BF3"/>
    <w:rsid w:val="004E31A6"/>
    <w:rsid w:val="004F16FF"/>
    <w:rsid w:val="004F78AF"/>
    <w:rsid w:val="00503AFC"/>
    <w:rsid w:val="005178B3"/>
    <w:rsid w:val="00525EFA"/>
    <w:rsid w:val="00532DEF"/>
    <w:rsid w:val="00540333"/>
    <w:rsid w:val="00540F47"/>
    <w:rsid w:val="0054236F"/>
    <w:rsid w:val="005448FF"/>
    <w:rsid w:val="00546D62"/>
    <w:rsid w:val="00551DBC"/>
    <w:rsid w:val="00561178"/>
    <w:rsid w:val="0057076A"/>
    <w:rsid w:val="00571563"/>
    <w:rsid w:val="00573B99"/>
    <w:rsid w:val="005748C2"/>
    <w:rsid w:val="005846FC"/>
    <w:rsid w:val="005A4028"/>
    <w:rsid w:val="005A5A7A"/>
    <w:rsid w:val="005A7E97"/>
    <w:rsid w:val="005C1296"/>
    <w:rsid w:val="005C5511"/>
    <w:rsid w:val="005D3A5C"/>
    <w:rsid w:val="005D5026"/>
    <w:rsid w:val="005D7334"/>
    <w:rsid w:val="005D7BD6"/>
    <w:rsid w:val="005E0F9B"/>
    <w:rsid w:val="005F108B"/>
    <w:rsid w:val="005F2BEB"/>
    <w:rsid w:val="005F3F6E"/>
    <w:rsid w:val="005F5736"/>
    <w:rsid w:val="006002CD"/>
    <w:rsid w:val="00604EB2"/>
    <w:rsid w:val="00605BB3"/>
    <w:rsid w:val="00607120"/>
    <w:rsid w:val="00617FEE"/>
    <w:rsid w:val="00623D93"/>
    <w:rsid w:val="00631D2C"/>
    <w:rsid w:val="00637CA6"/>
    <w:rsid w:val="006408C7"/>
    <w:rsid w:val="0064407A"/>
    <w:rsid w:val="006507B7"/>
    <w:rsid w:val="006555CC"/>
    <w:rsid w:val="00661547"/>
    <w:rsid w:val="00674657"/>
    <w:rsid w:val="0067500B"/>
    <w:rsid w:val="0067689D"/>
    <w:rsid w:val="006818CB"/>
    <w:rsid w:val="006828AC"/>
    <w:rsid w:val="00682B68"/>
    <w:rsid w:val="006833A9"/>
    <w:rsid w:val="00683EE4"/>
    <w:rsid w:val="0069101F"/>
    <w:rsid w:val="00693E8C"/>
    <w:rsid w:val="006A0C74"/>
    <w:rsid w:val="006A1C42"/>
    <w:rsid w:val="006A2E95"/>
    <w:rsid w:val="006B005E"/>
    <w:rsid w:val="006B1B1F"/>
    <w:rsid w:val="006B5A95"/>
    <w:rsid w:val="006B62FF"/>
    <w:rsid w:val="006C0924"/>
    <w:rsid w:val="006C3B6A"/>
    <w:rsid w:val="006C5C4B"/>
    <w:rsid w:val="006D0197"/>
    <w:rsid w:val="006D0549"/>
    <w:rsid w:val="006E50A7"/>
    <w:rsid w:val="006E565D"/>
    <w:rsid w:val="006E65C0"/>
    <w:rsid w:val="006F1313"/>
    <w:rsid w:val="006F1ABD"/>
    <w:rsid w:val="006F48C5"/>
    <w:rsid w:val="006F5699"/>
    <w:rsid w:val="006F60AC"/>
    <w:rsid w:val="006F6100"/>
    <w:rsid w:val="006F671D"/>
    <w:rsid w:val="006F73D1"/>
    <w:rsid w:val="00700EAC"/>
    <w:rsid w:val="00704183"/>
    <w:rsid w:val="0070691D"/>
    <w:rsid w:val="0070710A"/>
    <w:rsid w:val="007073E5"/>
    <w:rsid w:val="00711ACF"/>
    <w:rsid w:val="0071645F"/>
    <w:rsid w:val="00717117"/>
    <w:rsid w:val="007239BA"/>
    <w:rsid w:val="00724133"/>
    <w:rsid w:val="007302F4"/>
    <w:rsid w:val="00732D87"/>
    <w:rsid w:val="00733FA3"/>
    <w:rsid w:val="0073427C"/>
    <w:rsid w:val="00734BBD"/>
    <w:rsid w:val="00742F10"/>
    <w:rsid w:val="00744808"/>
    <w:rsid w:val="007501C9"/>
    <w:rsid w:val="00753723"/>
    <w:rsid w:val="00760B5C"/>
    <w:rsid w:val="00766A02"/>
    <w:rsid w:val="0077545B"/>
    <w:rsid w:val="00776EED"/>
    <w:rsid w:val="00783151"/>
    <w:rsid w:val="00787D25"/>
    <w:rsid w:val="007A3030"/>
    <w:rsid w:val="007A4FEF"/>
    <w:rsid w:val="007B1D78"/>
    <w:rsid w:val="007B37D8"/>
    <w:rsid w:val="007B621D"/>
    <w:rsid w:val="007C0852"/>
    <w:rsid w:val="007E1FC3"/>
    <w:rsid w:val="007E7457"/>
    <w:rsid w:val="007F18BA"/>
    <w:rsid w:val="007F1DA5"/>
    <w:rsid w:val="007F696C"/>
    <w:rsid w:val="00805D04"/>
    <w:rsid w:val="0080701E"/>
    <w:rsid w:val="008108DF"/>
    <w:rsid w:val="008130D3"/>
    <w:rsid w:val="00813EB5"/>
    <w:rsid w:val="008142A4"/>
    <w:rsid w:val="008166C7"/>
    <w:rsid w:val="008218FB"/>
    <w:rsid w:val="008229B7"/>
    <w:rsid w:val="008233E2"/>
    <w:rsid w:val="00826114"/>
    <w:rsid w:val="00831A8A"/>
    <w:rsid w:val="00831C93"/>
    <w:rsid w:val="00832310"/>
    <w:rsid w:val="00832DD0"/>
    <w:rsid w:val="00845402"/>
    <w:rsid w:val="00855316"/>
    <w:rsid w:val="00855DFB"/>
    <w:rsid w:val="00856737"/>
    <w:rsid w:val="0085780E"/>
    <w:rsid w:val="00864100"/>
    <w:rsid w:val="0086415A"/>
    <w:rsid w:val="00865028"/>
    <w:rsid w:val="008658E2"/>
    <w:rsid w:val="00867578"/>
    <w:rsid w:val="008677D8"/>
    <w:rsid w:val="0087027B"/>
    <w:rsid w:val="00870BF4"/>
    <w:rsid w:val="00871E61"/>
    <w:rsid w:val="00874728"/>
    <w:rsid w:val="0088201C"/>
    <w:rsid w:val="00882922"/>
    <w:rsid w:val="00897846"/>
    <w:rsid w:val="008A3E3A"/>
    <w:rsid w:val="008A738C"/>
    <w:rsid w:val="008B0965"/>
    <w:rsid w:val="008B17F4"/>
    <w:rsid w:val="008B2340"/>
    <w:rsid w:val="008B412C"/>
    <w:rsid w:val="008C771D"/>
    <w:rsid w:val="008D577C"/>
    <w:rsid w:val="008E4039"/>
    <w:rsid w:val="008E5D50"/>
    <w:rsid w:val="008F74B3"/>
    <w:rsid w:val="008F7B62"/>
    <w:rsid w:val="00903962"/>
    <w:rsid w:val="0090455F"/>
    <w:rsid w:val="009109CF"/>
    <w:rsid w:val="00912743"/>
    <w:rsid w:val="00915671"/>
    <w:rsid w:val="00916E1A"/>
    <w:rsid w:val="00925A48"/>
    <w:rsid w:val="00931526"/>
    <w:rsid w:val="0093460E"/>
    <w:rsid w:val="009378D4"/>
    <w:rsid w:val="00943865"/>
    <w:rsid w:val="00944101"/>
    <w:rsid w:val="009518BD"/>
    <w:rsid w:val="009536A9"/>
    <w:rsid w:val="00957190"/>
    <w:rsid w:val="0097231E"/>
    <w:rsid w:val="00972523"/>
    <w:rsid w:val="00972954"/>
    <w:rsid w:val="0097476A"/>
    <w:rsid w:val="00975D91"/>
    <w:rsid w:val="009930AE"/>
    <w:rsid w:val="009956E8"/>
    <w:rsid w:val="009956F9"/>
    <w:rsid w:val="00997D21"/>
    <w:rsid w:val="009A0771"/>
    <w:rsid w:val="009A0994"/>
    <w:rsid w:val="009A266B"/>
    <w:rsid w:val="009A38EF"/>
    <w:rsid w:val="009C2649"/>
    <w:rsid w:val="009D68EE"/>
    <w:rsid w:val="009E322F"/>
    <w:rsid w:val="009E42F4"/>
    <w:rsid w:val="009E4BF5"/>
    <w:rsid w:val="009F5E8B"/>
    <w:rsid w:val="00A02148"/>
    <w:rsid w:val="00A0247F"/>
    <w:rsid w:val="00A02583"/>
    <w:rsid w:val="00A115D2"/>
    <w:rsid w:val="00A171A8"/>
    <w:rsid w:val="00A258ED"/>
    <w:rsid w:val="00A27B46"/>
    <w:rsid w:val="00A31BC8"/>
    <w:rsid w:val="00A3650C"/>
    <w:rsid w:val="00A41165"/>
    <w:rsid w:val="00A411C4"/>
    <w:rsid w:val="00A41301"/>
    <w:rsid w:val="00A439F5"/>
    <w:rsid w:val="00A4769B"/>
    <w:rsid w:val="00A53BC8"/>
    <w:rsid w:val="00A61177"/>
    <w:rsid w:val="00A644C9"/>
    <w:rsid w:val="00A64DCD"/>
    <w:rsid w:val="00A64FBC"/>
    <w:rsid w:val="00A76E74"/>
    <w:rsid w:val="00A84306"/>
    <w:rsid w:val="00A94333"/>
    <w:rsid w:val="00AA7904"/>
    <w:rsid w:val="00AB2E4E"/>
    <w:rsid w:val="00AB3626"/>
    <w:rsid w:val="00AB6B2B"/>
    <w:rsid w:val="00AC2F2B"/>
    <w:rsid w:val="00AC307C"/>
    <w:rsid w:val="00AC64F9"/>
    <w:rsid w:val="00AD0279"/>
    <w:rsid w:val="00AD062C"/>
    <w:rsid w:val="00AD6B20"/>
    <w:rsid w:val="00AE624A"/>
    <w:rsid w:val="00AF5A0F"/>
    <w:rsid w:val="00B039ED"/>
    <w:rsid w:val="00B05A44"/>
    <w:rsid w:val="00B15728"/>
    <w:rsid w:val="00B174E6"/>
    <w:rsid w:val="00B22086"/>
    <w:rsid w:val="00B22092"/>
    <w:rsid w:val="00B2318C"/>
    <w:rsid w:val="00B24539"/>
    <w:rsid w:val="00B25E9D"/>
    <w:rsid w:val="00B31252"/>
    <w:rsid w:val="00B31EDB"/>
    <w:rsid w:val="00B33D2E"/>
    <w:rsid w:val="00B36CC3"/>
    <w:rsid w:val="00B43CAB"/>
    <w:rsid w:val="00B44EA3"/>
    <w:rsid w:val="00B55317"/>
    <w:rsid w:val="00B63267"/>
    <w:rsid w:val="00B77D3D"/>
    <w:rsid w:val="00B81CA5"/>
    <w:rsid w:val="00B875E5"/>
    <w:rsid w:val="00B91654"/>
    <w:rsid w:val="00B9283A"/>
    <w:rsid w:val="00B95260"/>
    <w:rsid w:val="00BA1406"/>
    <w:rsid w:val="00BA3FDF"/>
    <w:rsid w:val="00BA6479"/>
    <w:rsid w:val="00BB0392"/>
    <w:rsid w:val="00BB2C34"/>
    <w:rsid w:val="00BB52BC"/>
    <w:rsid w:val="00BB6C3E"/>
    <w:rsid w:val="00BC1581"/>
    <w:rsid w:val="00BC493E"/>
    <w:rsid w:val="00BC572A"/>
    <w:rsid w:val="00BC6186"/>
    <w:rsid w:val="00BC6BE4"/>
    <w:rsid w:val="00BC7397"/>
    <w:rsid w:val="00BD408C"/>
    <w:rsid w:val="00BD7B04"/>
    <w:rsid w:val="00BE28B4"/>
    <w:rsid w:val="00BE34F5"/>
    <w:rsid w:val="00BE3C94"/>
    <w:rsid w:val="00BE5994"/>
    <w:rsid w:val="00BF1B1E"/>
    <w:rsid w:val="00BF3637"/>
    <w:rsid w:val="00BF4D28"/>
    <w:rsid w:val="00BF5EC5"/>
    <w:rsid w:val="00BF6DA8"/>
    <w:rsid w:val="00BF7D53"/>
    <w:rsid w:val="00C01BE0"/>
    <w:rsid w:val="00C066CD"/>
    <w:rsid w:val="00C06F17"/>
    <w:rsid w:val="00C15373"/>
    <w:rsid w:val="00C406B6"/>
    <w:rsid w:val="00C42C71"/>
    <w:rsid w:val="00C452A3"/>
    <w:rsid w:val="00C5031C"/>
    <w:rsid w:val="00C51376"/>
    <w:rsid w:val="00C6324C"/>
    <w:rsid w:val="00C63621"/>
    <w:rsid w:val="00C64A72"/>
    <w:rsid w:val="00C72D21"/>
    <w:rsid w:val="00C7449F"/>
    <w:rsid w:val="00C74F70"/>
    <w:rsid w:val="00C75E2C"/>
    <w:rsid w:val="00C76484"/>
    <w:rsid w:val="00C77B10"/>
    <w:rsid w:val="00C8034A"/>
    <w:rsid w:val="00C8173E"/>
    <w:rsid w:val="00C84E17"/>
    <w:rsid w:val="00C920B0"/>
    <w:rsid w:val="00CA082A"/>
    <w:rsid w:val="00CA742D"/>
    <w:rsid w:val="00CA7D4F"/>
    <w:rsid w:val="00CB4CB9"/>
    <w:rsid w:val="00CD018C"/>
    <w:rsid w:val="00CD0A0F"/>
    <w:rsid w:val="00CD1C33"/>
    <w:rsid w:val="00CD480B"/>
    <w:rsid w:val="00CE31FD"/>
    <w:rsid w:val="00CF4394"/>
    <w:rsid w:val="00CF6551"/>
    <w:rsid w:val="00CF7BFA"/>
    <w:rsid w:val="00D01344"/>
    <w:rsid w:val="00D019E6"/>
    <w:rsid w:val="00D02736"/>
    <w:rsid w:val="00D1276B"/>
    <w:rsid w:val="00D25191"/>
    <w:rsid w:val="00D34BDC"/>
    <w:rsid w:val="00D410C3"/>
    <w:rsid w:val="00D41B36"/>
    <w:rsid w:val="00D43059"/>
    <w:rsid w:val="00D46A5C"/>
    <w:rsid w:val="00D46C60"/>
    <w:rsid w:val="00D53A34"/>
    <w:rsid w:val="00D555ED"/>
    <w:rsid w:val="00D57374"/>
    <w:rsid w:val="00D67CF1"/>
    <w:rsid w:val="00D82969"/>
    <w:rsid w:val="00D86C59"/>
    <w:rsid w:val="00D8793D"/>
    <w:rsid w:val="00D91A0B"/>
    <w:rsid w:val="00DA39F1"/>
    <w:rsid w:val="00DB21B8"/>
    <w:rsid w:val="00DB245C"/>
    <w:rsid w:val="00DB4419"/>
    <w:rsid w:val="00DB5CF4"/>
    <w:rsid w:val="00DB7C8D"/>
    <w:rsid w:val="00DC139C"/>
    <w:rsid w:val="00DC26E9"/>
    <w:rsid w:val="00DC4CE0"/>
    <w:rsid w:val="00DD0C81"/>
    <w:rsid w:val="00DD682B"/>
    <w:rsid w:val="00DE2FC8"/>
    <w:rsid w:val="00DE3926"/>
    <w:rsid w:val="00DE3E17"/>
    <w:rsid w:val="00DF1EA0"/>
    <w:rsid w:val="00DF2413"/>
    <w:rsid w:val="00DF5973"/>
    <w:rsid w:val="00DF68B9"/>
    <w:rsid w:val="00E03617"/>
    <w:rsid w:val="00E07AAE"/>
    <w:rsid w:val="00E12F58"/>
    <w:rsid w:val="00E13BBD"/>
    <w:rsid w:val="00E17044"/>
    <w:rsid w:val="00E1765E"/>
    <w:rsid w:val="00E20534"/>
    <w:rsid w:val="00E2278E"/>
    <w:rsid w:val="00E230E0"/>
    <w:rsid w:val="00E242C9"/>
    <w:rsid w:val="00E6214C"/>
    <w:rsid w:val="00E64F95"/>
    <w:rsid w:val="00E71923"/>
    <w:rsid w:val="00E7430E"/>
    <w:rsid w:val="00E776F5"/>
    <w:rsid w:val="00E8191A"/>
    <w:rsid w:val="00E87275"/>
    <w:rsid w:val="00E959CA"/>
    <w:rsid w:val="00EA5A39"/>
    <w:rsid w:val="00EB2672"/>
    <w:rsid w:val="00EB4954"/>
    <w:rsid w:val="00EB7644"/>
    <w:rsid w:val="00EB77ED"/>
    <w:rsid w:val="00EC06A3"/>
    <w:rsid w:val="00EC1033"/>
    <w:rsid w:val="00EC27C5"/>
    <w:rsid w:val="00EC5906"/>
    <w:rsid w:val="00EC65F0"/>
    <w:rsid w:val="00EF07FC"/>
    <w:rsid w:val="00EF2330"/>
    <w:rsid w:val="00EF6134"/>
    <w:rsid w:val="00EF63A0"/>
    <w:rsid w:val="00EF7F1F"/>
    <w:rsid w:val="00F00461"/>
    <w:rsid w:val="00F00969"/>
    <w:rsid w:val="00F00BB6"/>
    <w:rsid w:val="00F01EC2"/>
    <w:rsid w:val="00F03FB9"/>
    <w:rsid w:val="00F042C8"/>
    <w:rsid w:val="00F12999"/>
    <w:rsid w:val="00F1548C"/>
    <w:rsid w:val="00F20AEB"/>
    <w:rsid w:val="00F21F57"/>
    <w:rsid w:val="00F23F53"/>
    <w:rsid w:val="00F26165"/>
    <w:rsid w:val="00F265A5"/>
    <w:rsid w:val="00F321A6"/>
    <w:rsid w:val="00F32712"/>
    <w:rsid w:val="00F37AB4"/>
    <w:rsid w:val="00F4100D"/>
    <w:rsid w:val="00F5299B"/>
    <w:rsid w:val="00F53510"/>
    <w:rsid w:val="00F540ED"/>
    <w:rsid w:val="00F55739"/>
    <w:rsid w:val="00F558AC"/>
    <w:rsid w:val="00F66B8F"/>
    <w:rsid w:val="00F733BC"/>
    <w:rsid w:val="00F76A02"/>
    <w:rsid w:val="00F80158"/>
    <w:rsid w:val="00F812B0"/>
    <w:rsid w:val="00F82032"/>
    <w:rsid w:val="00F85F25"/>
    <w:rsid w:val="00F908B7"/>
    <w:rsid w:val="00F92E44"/>
    <w:rsid w:val="00F93201"/>
    <w:rsid w:val="00F94E0B"/>
    <w:rsid w:val="00FA1EE9"/>
    <w:rsid w:val="00FA34A9"/>
    <w:rsid w:val="00FA3869"/>
    <w:rsid w:val="00FA3A48"/>
    <w:rsid w:val="00FB5104"/>
    <w:rsid w:val="00FB7969"/>
    <w:rsid w:val="00FC196F"/>
    <w:rsid w:val="00FC2FDB"/>
    <w:rsid w:val="00FC380E"/>
    <w:rsid w:val="00FD22FF"/>
    <w:rsid w:val="00FE5D10"/>
    <w:rsid w:val="00FF29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1E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1E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4189</Words>
  <Characters>2389</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Великая</dc:creator>
  <cp:lastModifiedBy>Елена Великая</cp:lastModifiedBy>
  <cp:revision>2</cp:revision>
  <dcterms:created xsi:type="dcterms:W3CDTF">2015-08-18T09:19:00Z</dcterms:created>
  <dcterms:modified xsi:type="dcterms:W3CDTF">2015-08-18T09:19:00Z</dcterms:modified>
</cp:coreProperties>
</file>