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5133F">
      <w:pPr>
        <w:pStyle w:val="a3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666750" cy="914400"/>
            <wp:effectExtent l="19050" t="0" r="0" b="0"/>
            <wp:docPr id="1" name="Рисунок 1" descr="C:\Users\n.goncharuk\AppData\Roaming\Liga70\Client\Session\TSIG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.goncharuk\AppData\Roaming\Liga70\Client\Session\TSIGN.GIF"/>
                    <pic:cNvPicPr>
                      <a:picLocks noChangeAspect="1" noChangeArrowheads="1"/>
                    </pic:cNvPicPr>
                  </pic:nvPicPr>
                  <pic:blipFill>
                    <a:blip r:link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F5133F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НАЦІОНАЛЬНА КОМІСІЯ З ЦІННИХ ПАПЕРІВ ТА ФОНДОВОГО РИНКУ</w:t>
      </w:r>
    </w:p>
    <w:p w:rsidR="00000000" w:rsidRDefault="00F5133F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РІШЕННЯ</w:t>
      </w:r>
    </w:p>
    <w:tbl>
      <w:tblPr>
        <w:tblW w:w="500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430"/>
        <w:gridCol w:w="2927"/>
        <w:gridCol w:w="3430"/>
      </w:tblGrid>
      <w:tr w:rsidR="00000000">
        <w:trPr>
          <w:tblCellSpacing w:w="22" w:type="dxa"/>
        </w:trPr>
        <w:tc>
          <w:tcPr>
            <w:tcW w:w="1750" w:type="pct"/>
            <w:hideMark/>
          </w:tcPr>
          <w:p w:rsidR="00000000" w:rsidRDefault="00F5133F">
            <w:pPr>
              <w:pStyle w:val="a3"/>
              <w:jc w:val="center"/>
            </w:pPr>
            <w:r>
              <w:rPr>
                <w:b/>
                <w:bCs/>
                <w:sz w:val="36"/>
                <w:szCs w:val="36"/>
              </w:rPr>
              <w:t>06.08.2015</w:t>
            </w:r>
          </w:p>
        </w:tc>
        <w:tc>
          <w:tcPr>
            <w:tcW w:w="1500" w:type="pct"/>
            <w:hideMark/>
          </w:tcPr>
          <w:p w:rsidR="00000000" w:rsidRDefault="00F5133F">
            <w:pPr>
              <w:pStyle w:val="a3"/>
              <w:jc w:val="center"/>
            </w:pPr>
            <w:r>
              <w:rPr>
                <w:b/>
                <w:bCs/>
                <w:sz w:val="36"/>
                <w:szCs w:val="36"/>
              </w:rPr>
              <w:t>м. Київ</w:t>
            </w:r>
          </w:p>
        </w:tc>
        <w:tc>
          <w:tcPr>
            <w:tcW w:w="1750" w:type="pct"/>
            <w:hideMark/>
          </w:tcPr>
          <w:p w:rsidR="00000000" w:rsidRDefault="00F5133F">
            <w:pPr>
              <w:pStyle w:val="a3"/>
              <w:jc w:val="center"/>
            </w:pPr>
            <w:r>
              <w:rPr>
                <w:b/>
                <w:bCs/>
                <w:sz w:val="36"/>
                <w:szCs w:val="36"/>
              </w:rPr>
              <w:t>N 1217</w:t>
            </w:r>
          </w:p>
        </w:tc>
      </w:tr>
    </w:tbl>
    <w:p w:rsidR="00000000" w:rsidRDefault="00F5133F">
      <w:pPr>
        <w:rPr>
          <w:rFonts w:eastAsia="Times New Roman"/>
        </w:rPr>
      </w:pPr>
      <w:r>
        <w:rPr>
          <w:rFonts w:eastAsia="Times New Roman"/>
        </w:rPr>
        <w:br w:type="textWrapping" w:clear="all"/>
      </w:r>
    </w:p>
    <w:p w:rsidR="00000000" w:rsidRDefault="00F5133F">
      <w:pPr>
        <w:pStyle w:val="a3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Зареєстровано в Міністерстві юстиції України </w:t>
      </w:r>
      <w:r>
        <w:rPr>
          <w:sz w:val="36"/>
          <w:szCs w:val="36"/>
        </w:rPr>
        <w:br/>
      </w:r>
      <w:r>
        <w:rPr>
          <w:b/>
          <w:bCs/>
          <w:sz w:val="36"/>
          <w:szCs w:val="36"/>
        </w:rPr>
        <w:t>26 серпня 2015 р. за N 1030/27475</w:t>
      </w:r>
    </w:p>
    <w:p w:rsidR="00000000" w:rsidRDefault="00F5133F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Про затвердження Змін до Положення про функціонування фондових бірж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Відповідно до абзацу другого </w:t>
      </w:r>
      <w:r>
        <w:rPr>
          <w:color w:val="0000FF"/>
          <w:sz w:val="36"/>
          <w:szCs w:val="36"/>
        </w:rPr>
        <w:t>статті 3</w:t>
      </w:r>
      <w:r>
        <w:rPr>
          <w:sz w:val="36"/>
          <w:szCs w:val="36"/>
        </w:rPr>
        <w:t xml:space="preserve">, </w:t>
      </w:r>
      <w:r>
        <w:rPr>
          <w:color w:val="0000FF"/>
          <w:sz w:val="36"/>
          <w:szCs w:val="36"/>
        </w:rPr>
        <w:t>пунктів 1</w:t>
      </w:r>
      <w:r>
        <w:rPr>
          <w:sz w:val="36"/>
          <w:szCs w:val="36"/>
        </w:rPr>
        <w:t xml:space="preserve"> та </w:t>
      </w:r>
      <w:r>
        <w:rPr>
          <w:color w:val="0000FF"/>
          <w:sz w:val="36"/>
          <w:szCs w:val="36"/>
        </w:rPr>
        <w:t>5 частини першої</w:t>
      </w:r>
      <w:r>
        <w:rPr>
          <w:sz w:val="36"/>
          <w:szCs w:val="36"/>
        </w:rPr>
        <w:t xml:space="preserve">, </w:t>
      </w:r>
      <w:r>
        <w:rPr>
          <w:color w:val="0000FF"/>
          <w:sz w:val="36"/>
          <w:szCs w:val="36"/>
        </w:rPr>
        <w:t>пунктів 1</w:t>
      </w:r>
      <w:r>
        <w:rPr>
          <w:sz w:val="36"/>
          <w:szCs w:val="36"/>
        </w:rPr>
        <w:t xml:space="preserve">, </w:t>
      </w:r>
      <w:r>
        <w:rPr>
          <w:color w:val="0000FF"/>
          <w:sz w:val="36"/>
          <w:szCs w:val="36"/>
        </w:rPr>
        <w:t>7 частини другої статті 7</w:t>
      </w:r>
      <w:r>
        <w:rPr>
          <w:sz w:val="36"/>
          <w:szCs w:val="36"/>
        </w:rPr>
        <w:t xml:space="preserve">, </w:t>
      </w:r>
      <w:r>
        <w:rPr>
          <w:color w:val="0000FF"/>
          <w:sz w:val="36"/>
          <w:szCs w:val="36"/>
        </w:rPr>
        <w:t>пункту 13 статті 8 Закону України "Про державне регулювання ринку цінних паперів</w:t>
      </w:r>
      <w:r>
        <w:rPr>
          <w:color w:val="0000FF"/>
          <w:sz w:val="36"/>
          <w:szCs w:val="36"/>
        </w:rPr>
        <w:t xml:space="preserve"> в Україні"</w:t>
      </w:r>
      <w:r>
        <w:rPr>
          <w:sz w:val="36"/>
          <w:szCs w:val="36"/>
        </w:rPr>
        <w:t xml:space="preserve">, </w:t>
      </w:r>
      <w:r>
        <w:rPr>
          <w:color w:val="0000FF"/>
          <w:sz w:val="36"/>
          <w:szCs w:val="36"/>
        </w:rPr>
        <w:t>статей 23</w:t>
      </w:r>
      <w:r>
        <w:rPr>
          <w:sz w:val="36"/>
          <w:szCs w:val="36"/>
        </w:rPr>
        <w:t xml:space="preserve"> та </w:t>
      </w:r>
      <w:r>
        <w:rPr>
          <w:color w:val="0000FF"/>
          <w:sz w:val="36"/>
          <w:szCs w:val="36"/>
        </w:rPr>
        <w:t>25 Закону України "Про цінні папери та фондовий ринок"</w:t>
      </w:r>
      <w:r>
        <w:rPr>
          <w:sz w:val="36"/>
          <w:szCs w:val="36"/>
        </w:rPr>
        <w:t xml:space="preserve"> Національна комісія з цінних паперів та фондового ринку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b/>
          <w:bCs/>
          <w:sz w:val="36"/>
          <w:szCs w:val="36"/>
        </w:rPr>
        <w:t>ВИРІШИЛА: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1. Затвердити Зміни до Положення про функціонування фондових бірж, затвердженого </w:t>
      </w:r>
      <w:r>
        <w:rPr>
          <w:color w:val="0000FF"/>
          <w:sz w:val="36"/>
          <w:szCs w:val="36"/>
        </w:rPr>
        <w:t>рішенням Національної комісі</w:t>
      </w:r>
      <w:r>
        <w:rPr>
          <w:color w:val="0000FF"/>
          <w:sz w:val="36"/>
          <w:szCs w:val="36"/>
        </w:rPr>
        <w:t>ї з цінних паперів та фондового ринку від 22 листопада 2012 року N 1688</w:t>
      </w:r>
      <w:r>
        <w:rPr>
          <w:sz w:val="36"/>
          <w:szCs w:val="36"/>
        </w:rPr>
        <w:t>, зареєстрованого в Міністерстві юстиції України 14 грудня 2012 року за N 2082/22394 (із змінами) (далі - Зміни), що додаються.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2. Це рішення набирає чинності з дня його офіційного опуб</w:t>
      </w:r>
      <w:r>
        <w:rPr>
          <w:sz w:val="36"/>
          <w:szCs w:val="36"/>
        </w:rPr>
        <w:t>лікування, крім підпункту 4 пункту 1 та підпунктів 2, 3 пункту 4 Змін, які набирають чинності з 01 січня 2016 року.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3. Фондовим біржам привести свою діяльність у відповідність до вимог цих Змін протягом трьох місяців з дати набрання чинності цим рішенням.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4. Департаменту регулювання діяльності торговців цінними паперами та фондових бірж (Устенко І. І.) забезпечити: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подання цього рішення на здійснення експертизи на відповідність </w:t>
      </w:r>
      <w:r>
        <w:rPr>
          <w:color w:val="0000FF"/>
          <w:sz w:val="36"/>
          <w:szCs w:val="36"/>
        </w:rPr>
        <w:t>Конвенції про захист прав людини і основоположних свобод</w:t>
      </w:r>
      <w:r>
        <w:rPr>
          <w:sz w:val="36"/>
          <w:szCs w:val="36"/>
        </w:rPr>
        <w:t xml:space="preserve"> до Секретаріату Урядово</w:t>
      </w:r>
      <w:r>
        <w:rPr>
          <w:sz w:val="36"/>
          <w:szCs w:val="36"/>
        </w:rPr>
        <w:t>го уповноваженого у справах Європейського суду з прав людини Міністерства юстиції України;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подання цього рішення на державну реєстрацію до Міністерства юстиції України.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5. Управлінню інформаційних технологій та діловодства (Заїка А. Л.) забезпечити оприлюд</w:t>
      </w:r>
      <w:r>
        <w:rPr>
          <w:sz w:val="36"/>
          <w:szCs w:val="36"/>
        </w:rPr>
        <w:t>нення цього рішення на офіційному сайті Національної комісії з цінних паперів та фондового ринку.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6. Управлінню внутрішнього аудиту та комунікацій (Збаражська О. Є.) забезпечити опублікування цього рішення в офіційному друкованому виданні Національної комі</w:t>
      </w:r>
      <w:r>
        <w:rPr>
          <w:sz w:val="36"/>
          <w:szCs w:val="36"/>
        </w:rPr>
        <w:t>сії з цінних паперів та фондового ринку.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7. Контроль за виконанням цього рішення покласти на члена Національної комісії з цінних паперів та фондового ринку Тарабакіна Д. В.</w:t>
      </w:r>
    </w:p>
    <w:p w:rsidR="00000000" w:rsidRDefault="00F5133F">
      <w:pPr>
        <w:pStyle w:val="a3"/>
        <w:jc w:val="both"/>
      </w:pPr>
      <w:r>
        <w:rPr>
          <w:sz w:val="36"/>
          <w:szCs w:val="36"/>
        </w:rPr>
        <w:t> </w:t>
      </w:r>
    </w:p>
    <w:tbl>
      <w:tblPr>
        <w:tblW w:w="5000" w:type="pct"/>
        <w:tblCellSpacing w:w="22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923"/>
        <w:gridCol w:w="4924"/>
      </w:tblGrid>
      <w:tr w:rsidR="00000000">
        <w:trPr>
          <w:tblCellSpacing w:w="22" w:type="dxa"/>
        </w:trPr>
        <w:tc>
          <w:tcPr>
            <w:tcW w:w="2500" w:type="pct"/>
            <w:vAlign w:val="bottom"/>
            <w:hideMark/>
          </w:tcPr>
          <w:p w:rsidR="00000000" w:rsidRDefault="00F5133F">
            <w:pPr>
              <w:pStyle w:val="a3"/>
              <w:jc w:val="center"/>
            </w:pPr>
            <w:r>
              <w:rPr>
                <w:b/>
                <w:bCs/>
                <w:sz w:val="36"/>
                <w:szCs w:val="36"/>
              </w:rPr>
              <w:t>Голова Комісії</w:t>
            </w:r>
          </w:p>
        </w:tc>
        <w:tc>
          <w:tcPr>
            <w:tcW w:w="2500" w:type="pct"/>
            <w:vAlign w:val="bottom"/>
            <w:hideMark/>
          </w:tcPr>
          <w:p w:rsidR="00000000" w:rsidRDefault="00F5133F">
            <w:pPr>
              <w:pStyle w:val="a3"/>
              <w:jc w:val="center"/>
            </w:pPr>
            <w:r>
              <w:rPr>
                <w:b/>
                <w:bCs/>
                <w:sz w:val="36"/>
                <w:szCs w:val="36"/>
              </w:rPr>
              <w:t>Т. Хромаєв</w:t>
            </w:r>
          </w:p>
        </w:tc>
      </w:tr>
      <w:tr w:rsidR="00000000">
        <w:trPr>
          <w:tblCellSpacing w:w="22" w:type="dxa"/>
        </w:trPr>
        <w:tc>
          <w:tcPr>
            <w:tcW w:w="2500" w:type="pct"/>
            <w:vAlign w:val="bottom"/>
            <w:hideMark/>
          </w:tcPr>
          <w:p w:rsidR="00000000" w:rsidRDefault="00F5133F">
            <w:pPr>
              <w:pStyle w:val="a3"/>
              <w:jc w:val="center"/>
            </w:pPr>
            <w:r>
              <w:rPr>
                <w:b/>
                <w:bCs/>
                <w:sz w:val="36"/>
                <w:szCs w:val="36"/>
              </w:rPr>
              <w:t>ПОГОДЖЕНО:</w:t>
            </w:r>
          </w:p>
        </w:tc>
        <w:tc>
          <w:tcPr>
            <w:tcW w:w="2500" w:type="pct"/>
            <w:vAlign w:val="bottom"/>
            <w:hideMark/>
          </w:tcPr>
          <w:p w:rsidR="00000000" w:rsidRDefault="00F5133F">
            <w:pPr>
              <w:pStyle w:val="a3"/>
              <w:jc w:val="center"/>
            </w:pPr>
            <w:r>
              <w:rPr>
                <w:sz w:val="36"/>
                <w:szCs w:val="36"/>
              </w:rPr>
              <w:t> </w:t>
            </w:r>
          </w:p>
        </w:tc>
      </w:tr>
      <w:tr w:rsidR="00000000">
        <w:trPr>
          <w:tblCellSpacing w:w="22" w:type="dxa"/>
        </w:trPr>
        <w:tc>
          <w:tcPr>
            <w:tcW w:w="2500" w:type="pct"/>
            <w:vAlign w:val="bottom"/>
            <w:hideMark/>
          </w:tcPr>
          <w:p w:rsidR="00000000" w:rsidRDefault="00F5133F">
            <w:pPr>
              <w:pStyle w:val="a3"/>
              <w:jc w:val="center"/>
            </w:pPr>
            <w:r>
              <w:rPr>
                <w:b/>
                <w:bCs/>
                <w:sz w:val="36"/>
                <w:szCs w:val="36"/>
              </w:rPr>
              <w:t xml:space="preserve">Т. в. о. Голови Державної </w:t>
            </w:r>
            <w:r>
              <w:rPr>
                <w:sz w:val="36"/>
                <w:szCs w:val="36"/>
              </w:rPr>
              <w:br/>
            </w:r>
            <w:r>
              <w:rPr>
                <w:b/>
                <w:bCs/>
                <w:sz w:val="36"/>
                <w:szCs w:val="36"/>
              </w:rPr>
              <w:t>регуляторної служби України</w:t>
            </w:r>
          </w:p>
        </w:tc>
        <w:tc>
          <w:tcPr>
            <w:tcW w:w="2500" w:type="pct"/>
            <w:vAlign w:val="bottom"/>
            <w:hideMark/>
          </w:tcPr>
          <w:p w:rsidR="00000000" w:rsidRDefault="00F5133F">
            <w:pPr>
              <w:pStyle w:val="a3"/>
              <w:jc w:val="center"/>
            </w:pPr>
            <w:r>
              <w:rPr>
                <w:b/>
                <w:bCs/>
                <w:sz w:val="36"/>
                <w:szCs w:val="36"/>
              </w:rPr>
              <w:t>В. П. Загородній</w:t>
            </w:r>
          </w:p>
        </w:tc>
      </w:tr>
      <w:tr w:rsidR="00000000">
        <w:trPr>
          <w:tblCellSpacing w:w="22" w:type="dxa"/>
        </w:trPr>
        <w:tc>
          <w:tcPr>
            <w:tcW w:w="2500" w:type="pct"/>
            <w:vAlign w:val="bottom"/>
            <w:hideMark/>
          </w:tcPr>
          <w:p w:rsidR="00000000" w:rsidRDefault="00F5133F">
            <w:pPr>
              <w:pStyle w:val="a3"/>
              <w:jc w:val="center"/>
            </w:pPr>
            <w:r>
              <w:rPr>
                <w:b/>
                <w:bCs/>
                <w:sz w:val="36"/>
                <w:szCs w:val="36"/>
              </w:rPr>
              <w:t>В. о. Голови Державної служби</w:t>
            </w:r>
            <w:r>
              <w:rPr>
                <w:sz w:val="36"/>
                <w:szCs w:val="36"/>
              </w:rPr>
              <w:br/>
            </w:r>
            <w:r>
              <w:rPr>
                <w:b/>
                <w:bCs/>
                <w:sz w:val="36"/>
                <w:szCs w:val="36"/>
              </w:rPr>
              <w:t>фінансового моніторингу України</w:t>
            </w:r>
          </w:p>
        </w:tc>
        <w:tc>
          <w:tcPr>
            <w:tcW w:w="2500" w:type="pct"/>
            <w:vAlign w:val="bottom"/>
            <w:hideMark/>
          </w:tcPr>
          <w:p w:rsidR="00000000" w:rsidRDefault="00F5133F">
            <w:pPr>
              <w:pStyle w:val="a3"/>
              <w:jc w:val="center"/>
            </w:pPr>
            <w:r>
              <w:rPr>
                <w:b/>
                <w:bCs/>
                <w:sz w:val="36"/>
                <w:szCs w:val="36"/>
              </w:rPr>
              <w:t>А. Т. Ковальчук</w:t>
            </w:r>
          </w:p>
        </w:tc>
      </w:tr>
    </w:tbl>
    <w:p w:rsidR="00000000" w:rsidRDefault="00F5133F">
      <w:pPr>
        <w:pStyle w:val="a3"/>
        <w:jc w:val="both"/>
      </w:pPr>
      <w:r>
        <w:br w:type="textWrapping" w:clear="all"/>
      </w:r>
    </w:p>
    <w:p w:rsidR="00000000" w:rsidRDefault="00F5133F">
      <w:pPr>
        <w:pStyle w:val="a3"/>
        <w:jc w:val="both"/>
      </w:pPr>
      <w:r>
        <w:rPr>
          <w:sz w:val="36"/>
          <w:szCs w:val="36"/>
        </w:rPr>
        <w:t> </w:t>
      </w:r>
    </w:p>
    <w:tbl>
      <w:tblPr>
        <w:tblpPr w:leftFromText="45" w:rightFromText="45" w:vertAnchor="text" w:tblpXSpec="right" w:tblpYSpec="center"/>
        <w:tblW w:w="225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404"/>
      </w:tblGrid>
      <w:tr w:rsidR="00000000">
        <w:trPr>
          <w:tblCellSpacing w:w="22" w:type="dxa"/>
        </w:trPr>
        <w:tc>
          <w:tcPr>
            <w:tcW w:w="5000" w:type="pct"/>
            <w:hideMark/>
          </w:tcPr>
          <w:p w:rsidR="00000000" w:rsidRDefault="00F5133F">
            <w:pPr>
              <w:pStyle w:val="a3"/>
            </w:pPr>
            <w:r>
              <w:rPr>
                <w:sz w:val="36"/>
                <w:szCs w:val="36"/>
              </w:rPr>
              <w:t>Протокол засідання Комісії</w:t>
            </w:r>
            <w:r>
              <w:rPr>
                <w:sz w:val="36"/>
                <w:szCs w:val="36"/>
              </w:rPr>
              <w:br/>
              <w:t>від 06 серпня 2015 р. N 53</w:t>
            </w:r>
          </w:p>
        </w:tc>
      </w:tr>
    </w:tbl>
    <w:p w:rsidR="00000000" w:rsidRDefault="00F5133F">
      <w:pPr>
        <w:pStyle w:val="a3"/>
        <w:jc w:val="both"/>
      </w:pPr>
      <w:r>
        <w:br w:type="textWrapping" w:clear="all"/>
      </w:r>
    </w:p>
    <w:p w:rsidR="00000000" w:rsidRDefault="00F5133F">
      <w:pPr>
        <w:pStyle w:val="a3"/>
        <w:jc w:val="both"/>
      </w:pPr>
      <w:r>
        <w:rPr>
          <w:sz w:val="36"/>
          <w:szCs w:val="36"/>
        </w:rPr>
        <w:t> </w:t>
      </w:r>
    </w:p>
    <w:tbl>
      <w:tblPr>
        <w:tblpPr w:leftFromText="45" w:rightFromText="45" w:vertAnchor="text" w:tblpXSpec="right" w:tblpYSpec="center"/>
        <w:tblW w:w="225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404"/>
      </w:tblGrid>
      <w:tr w:rsidR="00000000">
        <w:trPr>
          <w:tblCellSpacing w:w="22" w:type="dxa"/>
        </w:trPr>
        <w:tc>
          <w:tcPr>
            <w:tcW w:w="5000" w:type="pct"/>
            <w:hideMark/>
          </w:tcPr>
          <w:p w:rsidR="00000000" w:rsidRDefault="00F5133F">
            <w:pPr>
              <w:pStyle w:val="a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ЗАТВЕРДЖЕНО</w:t>
            </w:r>
            <w:r>
              <w:rPr>
                <w:sz w:val="36"/>
                <w:szCs w:val="36"/>
              </w:rPr>
              <w:br/>
            </w:r>
            <w:r>
              <w:rPr>
                <w:sz w:val="36"/>
                <w:szCs w:val="36"/>
              </w:rPr>
              <w:t>Рішення Національної комісії з цінних паперів та фондового ринку</w:t>
            </w:r>
            <w:r>
              <w:rPr>
                <w:sz w:val="36"/>
                <w:szCs w:val="36"/>
              </w:rPr>
              <w:br/>
              <w:t>06 серпня 2015 року N 1217</w:t>
            </w:r>
          </w:p>
          <w:p w:rsidR="00000000" w:rsidRDefault="00F5133F">
            <w:pPr>
              <w:pStyle w:val="a3"/>
            </w:pPr>
            <w:r>
              <w:rPr>
                <w:sz w:val="36"/>
                <w:szCs w:val="36"/>
              </w:rPr>
              <w:t>Зареєстровано</w:t>
            </w:r>
            <w:r>
              <w:rPr>
                <w:sz w:val="36"/>
                <w:szCs w:val="36"/>
              </w:rPr>
              <w:br/>
              <w:t xml:space="preserve">в Міністерстві юстиції України </w:t>
            </w:r>
            <w:r>
              <w:rPr>
                <w:sz w:val="36"/>
                <w:szCs w:val="36"/>
              </w:rPr>
              <w:br/>
              <w:t>26 серпня 2015 р. за N 1030/27475</w:t>
            </w:r>
          </w:p>
        </w:tc>
      </w:tr>
    </w:tbl>
    <w:p w:rsidR="00000000" w:rsidRDefault="00F5133F">
      <w:pPr>
        <w:pStyle w:val="a3"/>
        <w:jc w:val="both"/>
      </w:pPr>
      <w:r>
        <w:br w:type="textWrapping" w:clear="all"/>
      </w:r>
    </w:p>
    <w:p w:rsidR="00000000" w:rsidRDefault="00F5133F">
      <w:pPr>
        <w:pStyle w:val="3"/>
        <w:jc w:val="center"/>
        <w:rPr>
          <w:rFonts w:eastAsia="Times New Roman"/>
          <w:color w:val="0000FF"/>
        </w:rPr>
      </w:pPr>
      <w:r>
        <w:rPr>
          <w:rFonts w:eastAsia="Times New Roman"/>
        </w:rPr>
        <w:t xml:space="preserve">Зміни до </w:t>
      </w:r>
      <w:r>
        <w:rPr>
          <w:rFonts w:eastAsia="Times New Roman"/>
          <w:color w:val="0000FF"/>
        </w:rPr>
        <w:t>Положення про функціонування фондових бірж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1. У розділі I: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1) у пункті 2: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доповнити пункт після абзацу сьомого новими абзацами восьмим, дев'ятим такого змісту: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"граничний спред котирування - розраховане на певний момент часу у відсотках відношення різниці максимальної ціни безадресної заявки на продаж, при якій сумарний обсяг з</w:t>
      </w:r>
      <w:r>
        <w:rPr>
          <w:sz w:val="36"/>
          <w:szCs w:val="36"/>
        </w:rPr>
        <w:t>аявок фінансового інструменту, розрахований наростаючим підсумком у порядку зростання ціни, становить величину, не меншу мінімально допустимого обсягу (далі - МДО) і мінімальної ціни безадресної заявки на купівлю, при якій сумарний обсяг заявок фінансового</w:t>
      </w:r>
      <w:r>
        <w:rPr>
          <w:sz w:val="36"/>
          <w:szCs w:val="36"/>
        </w:rPr>
        <w:t xml:space="preserve"> інструменту, розрахований наростаючим підсумком у порядку зменшення ціни, становить величину, не меншу МДО до мінімальної ціни безадресної заявки на купівлю, при якій сумарний обсяг заявок фінансового інструменту, розрахований наростаючим підсумком у поря</w:t>
      </w:r>
      <w:r>
        <w:rPr>
          <w:sz w:val="36"/>
          <w:szCs w:val="36"/>
        </w:rPr>
        <w:t>дку зменшення ціни, становить величину, не меншу МДО;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двостороннє котирування - сукупність поданих одним учасником біржових торгів однієї або декількох безадресних заявок на купівлю та однієї або декількох безадресних заявок на продаж відповідних фінансови</w:t>
      </w:r>
      <w:r>
        <w:rPr>
          <w:sz w:val="36"/>
          <w:szCs w:val="36"/>
        </w:rPr>
        <w:t>х інструментів, яка відповідає вимогам, що пред'являються до граничного спреду двостороннього котирування;".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У зв'язку з цим абзаци восьмий - тридцять сьомий вважати відповідно абзацами десятим - тридцять дев'ятим;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абзац дев'ятнадцятий виключити.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У зв'язку</w:t>
      </w:r>
      <w:r>
        <w:rPr>
          <w:sz w:val="36"/>
          <w:szCs w:val="36"/>
        </w:rPr>
        <w:t xml:space="preserve"> з цим абзаци двадцятий - тридцять дев'ятий вважати відповідно абзацами дев'ятнадцятим - тридцять восьмим;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доповнити пункт після абзацу двадцять першого новим абзацом двадцять другим такого змісту: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"мінімально допустимий обсяг (МДО) - мінімально допустимий</w:t>
      </w:r>
      <w:r>
        <w:rPr>
          <w:sz w:val="36"/>
          <w:szCs w:val="36"/>
        </w:rPr>
        <w:t xml:space="preserve"> обсяг безадресної(их) заявки (заявок) на купівлю/продаж відповідних фінансових інструментів;".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У зв'язку з цим абзаци двадцять другий - тридцять восьмий вважати відповідно абзацами двадцять третім - тридцять дев'ятим;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абзац двадцять сьомий після слів "цінних паперів" доповнити словами ", на односторонніх аукціонах";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в абзаці тридцятому слова "методики, затвердженої цією біржею" замінити словами "вимог, встановлених Комісією";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в абзаці тридцять четвертому слова "робочий </w:t>
      </w:r>
      <w:r>
        <w:rPr>
          <w:sz w:val="36"/>
          <w:szCs w:val="36"/>
        </w:rPr>
        <w:t>день" замінити словами "період часу";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доповнити пункт після абзацу тридцять шостого новим абзацом тридцять сьомим такого змісту: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"ціна відкриття - значення першої розрахованої поточної ціни протягом торговельного дня;".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У зв'язку з цим абзаци тридцять сьом</w:t>
      </w:r>
      <w:r>
        <w:rPr>
          <w:sz w:val="36"/>
          <w:szCs w:val="36"/>
        </w:rPr>
        <w:t>ий - тридцять дев'ятий вважати відповідно абзацами тридцять восьмим - сороковим;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абзац тридцять восьмий викласти в такій редакції: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"ціна закриття - останнє розраховане протягом торговельного дня значення поточної ціни;";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доповнити пункт після абзацу тридця</w:t>
      </w:r>
      <w:r>
        <w:rPr>
          <w:sz w:val="36"/>
          <w:szCs w:val="36"/>
        </w:rPr>
        <w:t>ть восьмого новим абзацом тридцять дев'ятим такого змісту: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"частка акцій у вільному обігу - частка акцій у випуску у власності міноритарних акціонерів, яка визначається фондовою біржею відповідно до вимог, встановлених Комісією;".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У зв'язку з цим абзаци тр</w:t>
      </w:r>
      <w:r>
        <w:rPr>
          <w:sz w:val="36"/>
          <w:szCs w:val="36"/>
        </w:rPr>
        <w:t>идцять дев'ятий, сороковий вважати відповідно абзацами сороковим, сорок першим;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2) абзаци сьомий та восьмий пункту 8 виключити;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3) у пункті 9: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в абзаці другому слова "при цьому до такого переліку входить не менше чотирьох цінних паперів, що входять до бірж</w:t>
      </w:r>
      <w:r>
        <w:rPr>
          <w:sz w:val="36"/>
          <w:szCs w:val="36"/>
        </w:rPr>
        <w:t>ового реєстру фондової біржі" виключити;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абзац третій виключити;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4) доповнити розділ новими пунктами такого змісту: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"10. Частка акцій у вільному обігу визначається фондовою біржею на підставі інформації, що розкривається емітентами цінних паперів, а також </w:t>
      </w:r>
      <w:r>
        <w:rPr>
          <w:sz w:val="36"/>
          <w:szCs w:val="36"/>
        </w:rPr>
        <w:t>на підставі інформації, отриманої від емітента, та іншої публічної інформації.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Частка акцій у вільному обігу дорівнює вираженому у процентах відношенню кількості акцій емітента, що знаходяться у вільному обігу на фондових біржах, до загальної кількості роз</w:t>
      </w:r>
      <w:r>
        <w:rPr>
          <w:sz w:val="36"/>
          <w:szCs w:val="36"/>
        </w:rPr>
        <w:t>міщених акцій емітента відповідно до квартальної звітності емітента або іншої інформації, яка містить відомості про власників акцій.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При розрахунку частки акцій у вільному обігу її значення округлюється до двох значущих цифр після коми.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Кількість акцій емі</w:t>
      </w:r>
      <w:r>
        <w:rPr>
          <w:sz w:val="36"/>
          <w:szCs w:val="36"/>
        </w:rPr>
        <w:t>тента, що знаходяться у вільному обігу, дорівнює різниці загальної кількості розміщених акцій емітента та акцій у власності інвесторів (крім інститутів спільного інвестування, в тому числі іноземних, недержавних пенсійних фондів), що володіють понад 5 % за</w:t>
      </w:r>
      <w:r>
        <w:rPr>
          <w:sz w:val="36"/>
          <w:szCs w:val="36"/>
        </w:rPr>
        <w:t>гальної кількості розміщених акцій; акцій, що належать державі; акцій у власності пов'язаних осіб емітента, акцій, що мають обмежений обіг.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Кількість акцій емітента, що знаходяться у вільному обігу, зменшується на кількість акцій, що належать інституту спі</w:t>
      </w:r>
      <w:r>
        <w:rPr>
          <w:sz w:val="36"/>
          <w:szCs w:val="36"/>
        </w:rPr>
        <w:t>льного інвестування, в тому числі іноземних, у разі якщо кількість акцій, що належить цьому фонду, перевищує 10 % від загальної кількості розміщених акцій емітента.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Розрахунок частки акцій у вільному обігу здійснюється не рідше одного разу на квартал.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11. </w:t>
      </w:r>
      <w:r>
        <w:rPr>
          <w:sz w:val="36"/>
          <w:szCs w:val="36"/>
        </w:rPr>
        <w:t>Ринкова капіталізація емітента розраховується кожен день, коли за таким цінним папером було розраховано біржовий курс.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Для цілей лістингу використовується середнє значення ринкової капіталізації, яке розраховується один раз на квартал, при одночасному дотр</w:t>
      </w:r>
      <w:r>
        <w:rPr>
          <w:sz w:val="36"/>
          <w:szCs w:val="36"/>
        </w:rPr>
        <w:t>иманні таких вимог: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для розрахунку використовується середнє арифметичне останніх розрахованих за кожен місяць кварталу біржових курсів;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не менше 30 % торговельних днів за квартал був розрахований біржовий курс за відповідним цінним папером.".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2. В абзаці д</w:t>
      </w:r>
      <w:r>
        <w:rPr>
          <w:sz w:val="36"/>
          <w:szCs w:val="36"/>
        </w:rPr>
        <w:t>ев'ятому пункту 3 розділу II слова "у випадку, коли був розрахований та оприлюднений біржовий курс такого цінного папера або іншого фінансового інструмента" виключити.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3. У розділі III: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1) пункт 7 викласти в такій редакції: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"7. Біржовий список повинен містити щонайменше такі дані: найменування та код за ЄДРПОУ емітента; міжнародний ідентифікаційний номер (у разі коли його наявність передбачена законодавством), реєстраційний код Єдиного державного реєстру інститутів спільного </w:t>
      </w:r>
      <w:r>
        <w:rPr>
          <w:sz w:val="36"/>
          <w:szCs w:val="36"/>
        </w:rPr>
        <w:t>інвестування для цінних паперів інститутів спільного інвестування, вид цінного папера; номінальну вартість; кількість цінних паперів відповідного виду в обігу; кількість цінних паперів у випуску (для облігацій); дані щодо державної реєстрації випуску цінно</w:t>
      </w:r>
      <w:r>
        <w:rPr>
          <w:sz w:val="36"/>
          <w:szCs w:val="36"/>
        </w:rPr>
        <w:t>го папера (у разі якщо державна реєстрація випуску передбачена законодавством), інші показники, необхідні для ідентифікації цінного папера; рівень лістингу; дату внесення (виключення) цінного папера до (з) біржового списку.";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2) абзаци другий, третій пункт</w:t>
      </w:r>
      <w:r>
        <w:rPr>
          <w:sz w:val="36"/>
          <w:szCs w:val="36"/>
        </w:rPr>
        <w:t>у 8 викласти в такій редакції: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"Вимоги щодо внесення цінних паперів до біржового списку без унесення до біржового реєстру установлюються фондовою біржею відповідно до правил фондової біржі.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Не допускається внесення та перебування у біржовому списку цінних </w:t>
      </w:r>
      <w:r>
        <w:rPr>
          <w:sz w:val="36"/>
          <w:szCs w:val="36"/>
        </w:rPr>
        <w:t>паперів, емітенти яких визнані банкрутом, включені до переліку емітентів, що мають ознаки фіктивності, або щодо яких застосовується ліквідаційна процедура, крім цінних паперів, які пропонуються до продажу в процесі приватизації, та на виконання судових ріш</w:t>
      </w:r>
      <w:r>
        <w:rPr>
          <w:sz w:val="36"/>
          <w:szCs w:val="36"/>
        </w:rPr>
        <w:t>ень щодо реалізації цінних паперів, на які звернено стягнення.";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3) у пункті 12: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в абзаці першому слова "за таких підстав" замінити словами "не пізніше трьох торговельних днів з дня виявлення таких підстав";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в абзаці третьому слова ", правилам фондової бір</w:t>
      </w:r>
      <w:r>
        <w:rPr>
          <w:sz w:val="36"/>
          <w:szCs w:val="36"/>
        </w:rPr>
        <w:t>жі, що визначають умови перебування в біржовому реєстрі за відповідним рівнем лістингу" виключити;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абзац десятий виключити.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У зв'язку з цим абзац одинадцятий вважати абзацом десятим;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4) у пункті 13: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абзаци другий - четвертий виключити;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підпункти 13.1, 13.2</w:t>
      </w:r>
      <w:r>
        <w:rPr>
          <w:sz w:val="36"/>
          <w:szCs w:val="36"/>
        </w:rPr>
        <w:t xml:space="preserve"> виключити.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У зв'язку з цим підпункти 13.3 - 13.9 вважати відповідно підпунктами 13.1 - 13.7;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підпункти 13.1 - 13.5 викласти в такій редакції: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"13.1. Фондова біржа зобов'язана зупинити торги цінним папером першого рівня лістингу у режимах торгів, які берут</w:t>
      </w:r>
      <w:r>
        <w:rPr>
          <w:sz w:val="36"/>
          <w:szCs w:val="36"/>
        </w:rPr>
        <w:t>ь участь у формуванні поточної ціни цього цінного папера, залежно від ступеня зміни поточної ціни. У разі зміни значення поточної ціни цінного папера першого рівня лістингу від ціни закриття попереднього торговельного дня не менше ніж на 10 % у бік збільше</w:t>
      </w:r>
      <w:r>
        <w:rPr>
          <w:sz w:val="36"/>
          <w:szCs w:val="36"/>
        </w:rPr>
        <w:t>ння або зменшення протягом 10 хвилин поспіль з моменту фіксації зазначеної зміни біржові торги цим цінним папером зупиняються на 1 годину, але не більше ніж до закінчення торговельного дня. У разі якщо після поновлення торгів відбувається зміна поточної ці</w:t>
      </w:r>
      <w:r>
        <w:rPr>
          <w:sz w:val="36"/>
          <w:szCs w:val="36"/>
        </w:rPr>
        <w:t>ни цінного папера першого рівня лістингу від останньої ціни закриття попереднього торговельного дня не менше ніж на 30 % у бік збільшення або зменшення протягом 10 хвилин поспіль з моменту фіксації зазначеної зміни, біржові торги цим цінним папером зупиняю</w:t>
      </w:r>
      <w:r>
        <w:rPr>
          <w:sz w:val="36"/>
          <w:szCs w:val="36"/>
        </w:rPr>
        <w:t>ться до закінчення торговельного дня.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13.2. Фондова біржа зобов'язана зупинити торги цінним папером другого рівня лістингу та/або цінним папером, який використовується для розрахунку біржового фондового індексу, у режимах торгів, які беруть участь у формув</w:t>
      </w:r>
      <w:r>
        <w:rPr>
          <w:sz w:val="36"/>
          <w:szCs w:val="36"/>
        </w:rPr>
        <w:t>анні поточної ціни цінного папера, залежно від ступеня зміни поточної ціни. У разі зміни значення поточної ціни цінного папера другого рівня лістингу та/або цінного папера, який використовується для розрахунку біржового фондового індексу, від останньої цін</w:t>
      </w:r>
      <w:r>
        <w:rPr>
          <w:sz w:val="36"/>
          <w:szCs w:val="36"/>
        </w:rPr>
        <w:t>и закриття торговельного дня не менше ніж на 20 % у бік збільшення або зменшення протягом 10 хвилин поспіль з моменту фіксації зазначеної зміни біржові торги цим цінним папером зупиняються на 1 годину, але не більше ніж до закінчення торговельного дня. У р</w:t>
      </w:r>
      <w:r>
        <w:rPr>
          <w:sz w:val="36"/>
          <w:szCs w:val="36"/>
        </w:rPr>
        <w:t>азі якщо після поновлення торгів відбувається зміна поточної ціни цінного папера другого рівня лістингу та/або цінного папера, який використовується для розрахунку біржового фондового індексу, від останньої ціни закриття попереднього торговельного дня не м</w:t>
      </w:r>
      <w:r>
        <w:rPr>
          <w:sz w:val="36"/>
          <w:szCs w:val="36"/>
        </w:rPr>
        <w:t>енше ніж на 40 % у бік збільшення або зменшення протягом 10 хвилин поспіль з моменту фіксації зазначеної зміни, біржові торги цим цінним папером зупиняються до закінчення торговельного дня.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13.3. Фондова біржа може зупинити торги позалістинговим цінним пап</w:t>
      </w:r>
      <w:r>
        <w:rPr>
          <w:sz w:val="36"/>
          <w:szCs w:val="36"/>
        </w:rPr>
        <w:t>ером у режимах торгів, що беруть участь у формуванні поточної ціни такого цінного папера, залежно від ступеня зміни поточної ціни.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Фондова біржа встановлює граничні значення зміни поточної ціни у бік збільшення або зменшення не більше ніж 50 % від останньо</w:t>
      </w:r>
      <w:r>
        <w:rPr>
          <w:sz w:val="36"/>
          <w:szCs w:val="36"/>
        </w:rPr>
        <w:t>ї ціни закриття торговельного дня позалістингового цінного папера та час зупинення торгів таким цінним папером у разі перевищення встановлених граничних значень.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13.4. Фондова біржа у разі перевищення граничних значень зміни ціни цінного папера, передбачен</w:t>
      </w:r>
      <w:r>
        <w:rPr>
          <w:sz w:val="36"/>
          <w:szCs w:val="36"/>
        </w:rPr>
        <w:t>их підпунктами 13.1, 13.2 цього пункту, та зупинки торгівлі таким цінним папером здійснює перевірку для виявлення причин, що призвели до ситуації цінової нестабільності.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13.5. Фондова біржа у разі зупинення торгівлі цінними паперами, зміна ціни яких переви</w:t>
      </w:r>
      <w:r>
        <w:rPr>
          <w:sz w:val="36"/>
          <w:szCs w:val="36"/>
        </w:rPr>
        <w:t>щує граничні значення, передбачені підпунктами 13.1 - 13.3 цього пункту, та здійснення відповідної перевірки може зупинити торгівлю іншими цінними паперами такого емітента та цінними паперами інших емітентів аналогічної та споріднених галузей за погодження</w:t>
      </w:r>
      <w:r>
        <w:rPr>
          <w:sz w:val="36"/>
          <w:szCs w:val="36"/>
        </w:rPr>
        <w:t>м з державним представником на фондовій біржі.";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у підпункті 13.7 цифри та слово "13.3 та 13.5" замінити цифрами та словом "13.1 - 13.3 та 13.5".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4. У розділі IV: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1) доповнити пункт 2 після абзацу другого новим абзацом третім такого змісту: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"Емітент надає </w:t>
      </w:r>
      <w:r>
        <w:rPr>
          <w:sz w:val="36"/>
          <w:szCs w:val="36"/>
        </w:rPr>
        <w:t>фондовій біржі інформацію, необхідну для унесення та перебування цінних паперів у біржовому реєстрі.".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У зв'язку з цим абзац третій вважати абзацом четвертим;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2) у пункті 3: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підпункти 3.1, 3.2 викласти в такій редакції: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"3.1. Для акцій: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емітент існує не менше п'яти років;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власний капітал емітента не менше 1000000000 грн;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річний чистий дохід від реалізації товарів, робіт, послуг за останній фінансовий рік становить не менше 1000000000 грн (крім банків);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середнє значення ринкової капіталіза</w:t>
      </w:r>
      <w:r>
        <w:rPr>
          <w:sz w:val="36"/>
          <w:szCs w:val="36"/>
        </w:rPr>
        <w:t>ції емітента становить не менше 1000000000 грн;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мінімальна частка акцій у вільному обігу становить не менше 25 %, при цьому у двох інвесторів сумарно може бути не більше ніж 50 % від цієї частки;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кількісний склад акціонерів емітента - не менше 500 акціонер</w:t>
      </w:r>
      <w:r>
        <w:rPr>
          <w:sz w:val="36"/>
          <w:szCs w:val="36"/>
        </w:rPr>
        <w:t>ів;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кількість незалежних членів наглядової ради емітента становить принаймні 25 % кількісного складу ради;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у емітента запроваджено посаду корпоративного секретаря;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наглядова рада емітента запровадила посаду внутрішнього аудитора (створила службу внутрішньо</w:t>
      </w:r>
      <w:r>
        <w:rPr>
          <w:sz w:val="36"/>
          <w:szCs w:val="36"/>
        </w:rPr>
        <w:t>го аудиту);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емітент проводить щорічну аудиторську перевірку відповідно до міжнародних стандартів аудиту за участю незалежного зовнішнього аудитора (не менше трьох років);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емітент розкриває фінансові звіти українською та англійською мовами;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емітент дотримує</w:t>
      </w:r>
      <w:r>
        <w:rPr>
          <w:sz w:val="36"/>
          <w:szCs w:val="36"/>
        </w:rPr>
        <w:t xml:space="preserve">ться </w:t>
      </w:r>
      <w:r>
        <w:rPr>
          <w:color w:val="0000FF"/>
          <w:sz w:val="36"/>
          <w:szCs w:val="36"/>
        </w:rPr>
        <w:t>принципів корпоративного управління</w:t>
      </w:r>
      <w:r>
        <w:rPr>
          <w:sz w:val="36"/>
          <w:szCs w:val="36"/>
        </w:rPr>
        <w:t xml:space="preserve"> та міжнародних стандартів складання фінансової звітності;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емітент уклав договір з маркет-мейкером про підтримку ліквідності акцій.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3.2. Для облігацій підприємств: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емітент існує не менше п'яти років;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вартість чистих </w:t>
      </w:r>
      <w:r>
        <w:rPr>
          <w:sz w:val="36"/>
          <w:szCs w:val="36"/>
        </w:rPr>
        <w:t>активів емітента або особи, яка надає забезпечення виконання зобов'язань за випуском, становить не менше 1000000000 грн;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номінальна вартість серії випуску облігацій становить не менше 400000000 грн;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річний чистий дохід від реалізації товарів, робіт, послуг</w:t>
      </w:r>
      <w:r>
        <w:rPr>
          <w:sz w:val="36"/>
          <w:szCs w:val="36"/>
        </w:rPr>
        <w:t xml:space="preserve"> за останній фінансовий рік становить не менше 500000000 грн (крім банків);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відсутні збитки в емітента або особи, яка надає забезпечення виконання зобов'язань за випуском, за підсумками двох фінансових років з останніх трьох фінансових років</w:t>
      </w:r>
      <w:r>
        <w:rPr>
          <w:vertAlign w:val="superscript"/>
        </w:rPr>
        <w:t xml:space="preserve"> 1</w:t>
      </w:r>
      <w:r>
        <w:rPr>
          <w:sz w:val="36"/>
          <w:szCs w:val="36"/>
        </w:rPr>
        <w:t>;</w:t>
      </w:r>
    </w:p>
    <w:p w:rsidR="00000000" w:rsidRDefault="00F5133F">
      <w:pPr>
        <w:pStyle w:val="a3"/>
        <w:jc w:val="both"/>
        <w:rPr>
          <w:sz w:val="27"/>
          <w:szCs w:val="27"/>
        </w:rPr>
      </w:pPr>
      <w:r>
        <w:rPr>
          <w:sz w:val="36"/>
          <w:szCs w:val="36"/>
        </w:rPr>
        <w:t>___________</w:t>
      </w:r>
      <w:r>
        <w:rPr>
          <w:sz w:val="36"/>
          <w:szCs w:val="36"/>
        </w:rPr>
        <w:t>_</w:t>
      </w:r>
      <w:r>
        <w:rPr>
          <w:sz w:val="36"/>
          <w:szCs w:val="36"/>
        </w:rPr>
        <w:br/>
      </w:r>
      <w:r>
        <w:rPr>
          <w:vertAlign w:val="superscript"/>
        </w:rPr>
        <w:t>1</w:t>
      </w:r>
      <w:r>
        <w:rPr>
          <w:sz w:val="27"/>
          <w:szCs w:val="27"/>
        </w:rPr>
        <w:t xml:space="preserve"> Вимога стосується емітента та особи, яка надає забезпечення виконання зобов’язань за випуском, у разі реєстрації такого випуску після набрання чинності зазначеними Змінами. При цьому за наявності в емітента збитків, а в особи, яка надає забезпечення ви</w:t>
      </w:r>
      <w:r>
        <w:rPr>
          <w:sz w:val="27"/>
          <w:szCs w:val="27"/>
        </w:rPr>
        <w:t>конання зобов’язань за випуском, прибутку сума їх фінансових результатів має бути додатною.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розмір наданого емітентом забезпечення виконання зобов'язань за випуском не може бути менше суми номінальної вартості випуску облігацій і суми сукупної виплати дохо</w:t>
      </w:r>
      <w:r>
        <w:rPr>
          <w:sz w:val="36"/>
          <w:szCs w:val="36"/>
        </w:rPr>
        <w:t>ду за ними, крім випадків, якщо емітент та/або особа, яка надає забезпечення виконання зобов'язань за випуском, має рівень рейтингу не нижче BB за класифікацією міжнародного рейтингового агентства, яке включене до переліку міжнародних рейтингових агентств,</w:t>
      </w:r>
      <w:r>
        <w:rPr>
          <w:sz w:val="36"/>
          <w:szCs w:val="36"/>
        </w:rPr>
        <w:t xml:space="preserve"> визнаних Комісією;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відсутність дефолту або з моменту припинення зобов'язань, щодо яких емітентом було допущено дефолт, пройшло не менше трьох років;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кількість незалежних членів наглядової ради емітента становить принаймні 25 % кількісного складу ради;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у е</w:t>
      </w:r>
      <w:r>
        <w:rPr>
          <w:sz w:val="36"/>
          <w:szCs w:val="36"/>
        </w:rPr>
        <w:t>мітента запроваджено посаду корпоративного секретаря;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наглядова рада емітента запровадила посаду внутрішнього аудитора (створила службу внутрішнього аудиту);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емітент проводить щорічну аудиторську перевірку відповідно до міжнародних стандартів аудиту за уча</w:t>
      </w:r>
      <w:r>
        <w:rPr>
          <w:sz w:val="36"/>
          <w:szCs w:val="36"/>
        </w:rPr>
        <w:t>стю незалежного зовнішнього аудитора (не менше трьох років);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емітент розкриває фінансові звіти українською та англійською мовами;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емітент дотримується </w:t>
      </w:r>
      <w:r>
        <w:rPr>
          <w:color w:val="0000FF"/>
          <w:sz w:val="36"/>
          <w:szCs w:val="36"/>
        </w:rPr>
        <w:t>Принципів корпоративного управління</w:t>
      </w:r>
      <w:r>
        <w:rPr>
          <w:sz w:val="36"/>
          <w:szCs w:val="36"/>
        </w:rPr>
        <w:t xml:space="preserve"> та міжнародних стандартів складання фінансової звітності.";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підпункти</w:t>
      </w:r>
      <w:r>
        <w:rPr>
          <w:sz w:val="36"/>
          <w:szCs w:val="36"/>
        </w:rPr>
        <w:t xml:space="preserve"> 3.3, 3.4 виключити;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3) підпункти 4.1 - 4.4 пункту 4 викласти в такій редакції: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"4.1. Для акцій: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емітент існує не менше трьох років;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власний капітал емітента не менше 400000000 грн;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річний чистий дохід від реалізації товарів, робіт, послуг за останній фінансовий рік становить не менше 400000000 грн (крім банків);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середнє значення ринкової капіталізації емітента становить не менше 100000000 грн;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мінімальна частка акцій у вільному обігу</w:t>
      </w:r>
      <w:r>
        <w:rPr>
          <w:sz w:val="36"/>
          <w:szCs w:val="36"/>
        </w:rPr>
        <w:t xml:space="preserve"> становить не менше 10 відсотків, при цьому у двох інвесторів сумарно може бути не більше 50 % від цієї частки (за винятком: акцій, що мають обмежений обіг; акцій, що належать державі);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кількісний склад акціонерів емітента - не менше 200 акціонерів;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у еміт</w:t>
      </w:r>
      <w:r>
        <w:rPr>
          <w:sz w:val="36"/>
          <w:szCs w:val="36"/>
        </w:rPr>
        <w:t>ента запроваджено посаду корпоративного секретаря;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емітент проводить щорічну аудиторську перевірку відповідно до міжнародних стандартів аудиту за участю незалежного зовнішнього аудитора (не менше двох років);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емітенту рекомендовано дотримуватися </w:t>
      </w:r>
      <w:r>
        <w:rPr>
          <w:color w:val="0000FF"/>
          <w:sz w:val="36"/>
          <w:szCs w:val="36"/>
        </w:rPr>
        <w:t xml:space="preserve">принципів </w:t>
      </w:r>
      <w:r>
        <w:rPr>
          <w:color w:val="0000FF"/>
          <w:sz w:val="36"/>
          <w:szCs w:val="36"/>
        </w:rPr>
        <w:t>корпоративного управління</w:t>
      </w:r>
      <w:r>
        <w:rPr>
          <w:sz w:val="36"/>
          <w:szCs w:val="36"/>
        </w:rPr>
        <w:t xml:space="preserve"> та міжнародних стандартів складання фінансової звітності.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4.2. Для облігацій підприємств: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емітент існує не менше двох років (крім емітента, який є дочірнім підприємством іншого емітента, цінні папери якого знаходяться у біржовому </w:t>
      </w:r>
      <w:r>
        <w:rPr>
          <w:sz w:val="36"/>
          <w:szCs w:val="36"/>
        </w:rPr>
        <w:t>реєстрі);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вартість чистих активів емітента або особи, яка надає забезпечення виконання зобов'язань за випуском, становить не менше 400000000 грн;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річний чистий дохід від реалізації товарів, робіт, послуг емітента або особи, яка надає забезпечення виконання</w:t>
      </w:r>
      <w:r>
        <w:rPr>
          <w:sz w:val="36"/>
          <w:szCs w:val="36"/>
        </w:rPr>
        <w:t xml:space="preserve"> зобов'язань за випуском, за останній фінансовий рік становить не менше 400000000 грн (крім банків);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відсутні збитки в емітента або особи, яка надає забезпечення виконання зобов'язань за випуском, за підсумками останнього фінансового року</w:t>
      </w:r>
      <w:r>
        <w:rPr>
          <w:vertAlign w:val="superscript"/>
        </w:rPr>
        <w:t xml:space="preserve"> 2</w:t>
      </w:r>
      <w:r>
        <w:rPr>
          <w:sz w:val="36"/>
          <w:szCs w:val="36"/>
        </w:rPr>
        <w:t>;</w:t>
      </w:r>
    </w:p>
    <w:p w:rsidR="00000000" w:rsidRDefault="00F5133F">
      <w:pPr>
        <w:pStyle w:val="a3"/>
        <w:jc w:val="both"/>
        <w:rPr>
          <w:sz w:val="27"/>
          <w:szCs w:val="27"/>
        </w:rPr>
      </w:pPr>
      <w:r>
        <w:rPr>
          <w:sz w:val="36"/>
          <w:szCs w:val="36"/>
        </w:rPr>
        <w:t>____________</w:t>
      </w:r>
      <w:r>
        <w:rPr>
          <w:sz w:val="36"/>
          <w:szCs w:val="36"/>
        </w:rPr>
        <w:br/>
      </w:r>
      <w:r>
        <w:rPr>
          <w:vertAlign w:val="superscript"/>
        </w:rPr>
        <w:t>2</w:t>
      </w:r>
      <w:r>
        <w:rPr>
          <w:sz w:val="27"/>
          <w:szCs w:val="27"/>
        </w:rPr>
        <w:t xml:space="preserve"> Вимога стосується емітента та особи, яка надає забезпечення виконання зобов’язань за випуском, у разі реєстрації такого випуску після набрання чинності зазначеними Змінами. При цьому за наявності в емітента збитків, а в особи, яка надає забезпечення викон</w:t>
      </w:r>
      <w:r>
        <w:rPr>
          <w:sz w:val="27"/>
          <w:szCs w:val="27"/>
        </w:rPr>
        <w:t>ання зобов’язань за випуском, прибутку сума їх фінансових результатів має бути додатною.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відсутність дефолту або з моменту припинення зобов'язань, по відношенню до яких емітентом було допущено дефолт, пройшло не менше двох років;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номінальна вартість серії </w:t>
      </w:r>
      <w:r>
        <w:rPr>
          <w:sz w:val="36"/>
          <w:szCs w:val="36"/>
        </w:rPr>
        <w:t>випуску облігацій становить не менше 100000000 грн.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4.3. Для облігацій місцевих позик: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номінальна вартість серії випуску облігацій становить не менше 50000000 грн.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4.4. Для цінних паперів інститутів спільного інвестування, що розміщуються шляхом відкритого</w:t>
      </w:r>
      <w:r>
        <w:rPr>
          <w:sz w:val="36"/>
          <w:szCs w:val="36"/>
        </w:rPr>
        <w:t xml:space="preserve"> (публічного) розміщення: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інститут спільного інвестування існує не менше двох років (крім біржового інституту спільного інвестування);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вартість чистих активів інституту спільного інвестування на останній день останнього звітного кварталу становить не менше</w:t>
      </w:r>
      <w:r>
        <w:rPr>
          <w:sz w:val="36"/>
          <w:szCs w:val="36"/>
        </w:rPr>
        <w:t xml:space="preserve"> 2000000 грн;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інформація про склад активів інституту спільного інвестування та про вартість чистих активів, вартість цінних паперів інституту спільного інвестування (для інституту спільного інвестування закритого типу) щомісяця оприлюднюється на сайті комп</w:t>
      </w:r>
      <w:r>
        <w:rPr>
          <w:sz w:val="36"/>
          <w:szCs w:val="36"/>
        </w:rPr>
        <w:t>анії з управління активами;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емітент уклав договір з маркет-мейкером про підтримку ліквідності цінних паперів такого інституту спільного інвестування;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для спеціалізованого біржового інституту спільного інвестування (у разі публічного розміщення цінних папер</w:t>
      </w:r>
      <w:r>
        <w:rPr>
          <w:sz w:val="36"/>
          <w:szCs w:val="36"/>
        </w:rPr>
        <w:t>ів):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вартість чистих активів інституту спільного інвестування на останній день останнього звітного кварталу становить не менше 2000000 грн;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інформація про склад активів інституту спільного інвестування щодня оприлюднюється на сайті компанії з управління ак</w:t>
      </w:r>
      <w:r>
        <w:rPr>
          <w:sz w:val="36"/>
          <w:szCs w:val="36"/>
        </w:rPr>
        <w:t>тивами;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емітент уклав договір з маркет-мейкером про підтримку ліквідності цінних паперів такого інституту спільного інвестування.";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підпункт 4.5 виключити;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4) доповнити розділ після пункту 4 новими пунктами 5 - 8 такого змісту: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"5. Фондова біржа може створити сегмент, до якого вносить позалістингові акції нових інвестиційно привабливих компаній з метою розвитку середнього бізнесу в Україні.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Внесення та перебування у такому сегменті акцій здійснюється за таких умов: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емітент існує </w:t>
      </w:r>
      <w:r>
        <w:rPr>
          <w:sz w:val="36"/>
          <w:szCs w:val="36"/>
        </w:rPr>
        <w:t>не менше одного року;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середнє значення ринкової капіталізації емітента становить суму не менше 20000000 грн;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кількісний склад акціонерів емітента - не менше 50 акціонерів;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емітент проводить щорічну аудиторську перевірку відповідно до міжнародних стандартів</w:t>
      </w:r>
      <w:r>
        <w:rPr>
          <w:sz w:val="36"/>
          <w:szCs w:val="36"/>
        </w:rPr>
        <w:t xml:space="preserve"> аудиту;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емітенту рекомендовано дотримуватися </w:t>
      </w:r>
      <w:r>
        <w:rPr>
          <w:color w:val="0000FF"/>
          <w:sz w:val="36"/>
          <w:szCs w:val="36"/>
        </w:rPr>
        <w:t>принципів корпоративного управління</w:t>
      </w:r>
      <w:r>
        <w:rPr>
          <w:sz w:val="36"/>
          <w:szCs w:val="36"/>
        </w:rPr>
        <w:t xml:space="preserve"> та міжнародних стандартів складання фінансової звітності.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У випадку, якщо емітент протягом шести місяців відповідав усім вимогам, встановленим до даного сегмента, фондова бір</w:t>
      </w:r>
      <w:r>
        <w:rPr>
          <w:sz w:val="36"/>
          <w:szCs w:val="36"/>
        </w:rPr>
        <w:t>жа має право прийняти рішення щодо включення такого емітента до біржового реєстру без дотримання вимог щодо часу існування емітента.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6. При визначенні строку існування емітента, зазначеного у підпунктах 3.1, 3.2 пункту 3, підпунктах 4.1, 4.2 пункту 4, пунк</w:t>
      </w:r>
      <w:r>
        <w:rPr>
          <w:sz w:val="36"/>
          <w:szCs w:val="36"/>
        </w:rPr>
        <w:t>ті 5 цього розділу, також враховується строк існування юридичної особи, у тому числі створеної шляхом реорганізації.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7. Протягом усього періоду перебування цінного папера у відповідному рівні лістингу цінний папір та його емітент повинні відповідати лістин</w:t>
      </w:r>
      <w:r>
        <w:rPr>
          <w:sz w:val="36"/>
          <w:szCs w:val="36"/>
        </w:rPr>
        <w:t>говим вимогам.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Фондова біржа здійснює постійний контроль за відповідністю цінних паперів, які знаходяться у біржовому реєстрі, лістинговим вимогам.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У випадку виявлення біржею невідповідності цінних паперів, які внесені до біржового реєстру, лістинговим вим</w:t>
      </w:r>
      <w:r>
        <w:rPr>
          <w:sz w:val="36"/>
          <w:szCs w:val="36"/>
        </w:rPr>
        <w:t>огам, встановленим для відповідного рівня лістингу, фондова біржа приймає рішення про переведення цих цінних паперів з одного рівня лістингу в інший (у разі їх відповідності вимогам іншого рівня лістингу) або здійснює делістинг цінних паперів.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Рішення щодо</w:t>
      </w:r>
      <w:r>
        <w:rPr>
          <w:sz w:val="36"/>
          <w:szCs w:val="36"/>
        </w:rPr>
        <w:t xml:space="preserve"> переведення цінних паперів з першого рівня лістингу в другий (у разі їх відповідності вимогам другого рівня лістингу) або щодо делістингу приймається фондовою біржею на підставі даних, оприлюднених у звітності емітента (особи, яка надає забезпечення викон</w:t>
      </w:r>
      <w:r>
        <w:rPr>
          <w:sz w:val="36"/>
          <w:szCs w:val="36"/>
        </w:rPr>
        <w:t>ання зобов'язань за випуском), та/або не пізніше трьох торговельних днів з дня виявлення невідповідності цих цінних паперів лістинговим вимогам відповідного рівня лістингу.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Якщо зменшення показника вартості чистих активів або середнє значення ринкової капі</w:t>
      </w:r>
      <w:r>
        <w:rPr>
          <w:sz w:val="36"/>
          <w:szCs w:val="36"/>
        </w:rPr>
        <w:t>талізації емітента, цінні папери якого включені до біржового реєстру, становить понад 10 % від вимог, встановлених цим розділом, або зменшення показника мінімальної частки акцій у вільному обігу емітента, цінні папери якого включені до біржового реєстру, с</w:t>
      </w:r>
      <w:r>
        <w:rPr>
          <w:sz w:val="36"/>
          <w:szCs w:val="36"/>
        </w:rPr>
        <w:t>тановить понад 2 % від вимог, встановлених цим розділом, або середнє значення ринкової капіталізації емітента не розраховується,</w:t>
      </w:r>
      <w:r>
        <w:rPr>
          <w:b/>
          <w:bCs/>
          <w:sz w:val="36"/>
          <w:szCs w:val="36"/>
        </w:rPr>
        <w:t xml:space="preserve"> </w:t>
      </w:r>
      <w:r>
        <w:rPr>
          <w:sz w:val="36"/>
          <w:szCs w:val="36"/>
        </w:rPr>
        <w:t>рішення щодо переведення цінних паперів з першого рівня лістингу у другий (у разі їх відповідності вимогам другого рівня лістин</w:t>
      </w:r>
      <w:r>
        <w:rPr>
          <w:sz w:val="36"/>
          <w:szCs w:val="36"/>
        </w:rPr>
        <w:t>гу) або щодо делістингу приймається фондовою біржею не пізніше кінця кварталу, наступного за кварталом, в якому було виявлено невідповідність, у разі неприведення зазначених показників у відповідність до встановлених вимог. В інших випадках зменшення зазна</w:t>
      </w:r>
      <w:r>
        <w:rPr>
          <w:sz w:val="36"/>
          <w:szCs w:val="36"/>
        </w:rPr>
        <w:t>чених показників або зменшення показника річного чистого доходу від реалізації товарів, робіт, послуг емітента до 10 % від вимог, встановлених цим розділом, фондова біржа самостійно приймає рішення щодо необхідності переведення цінних паперів з першого рів</w:t>
      </w:r>
      <w:r>
        <w:rPr>
          <w:sz w:val="36"/>
          <w:szCs w:val="36"/>
        </w:rPr>
        <w:t>ня лістингу у другий (у разі їх відповідності вимогам другого рівня лістингу) або щодо делістингу.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8. Фондова біржа може вносити державні облігації України до біржового реєстру без проходження лістингових процедур.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Фондова біржа може вносити облігації міжн</w:t>
      </w:r>
      <w:r>
        <w:rPr>
          <w:sz w:val="36"/>
          <w:szCs w:val="36"/>
        </w:rPr>
        <w:t>ародної фінансової організації до біржового реєстру без проходження лістингових процедур на підставі укладеного договору між фондовою біржею та такою міжнародною фінансовою організацією.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Фондова біржа може вносити цінний папір емітента (на підставі укладен</w:t>
      </w:r>
      <w:r>
        <w:rPr>
          <w:sz w:val="36"/>
          <w:szCs w:val="36"/>
        </w:rPr>
        <w:t>ого договору між фондовою біржею та емітентом) до другого рівня лістингу без проходження лістингових процедур у разі, якщо цінний папір материнської компанії емітента або самого емітента знаходиться в основному лістингу члена Світової федерації бірж.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Фондо</w:t>
      </w:r>
      <w:r>
        <w:rPr>
          <w:sz w:val="36"/>
          <w:szCs w:val="36"/>
        </w:rPr>
        <w:t>ва біржа може вносити облігації підприємств до першого рівня лістингу без проходження лістингових процедур, якщо акції емітента таких облігацій знаходяться в першому рівні лістингу.".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У зв'язку цим пункти 5 - 12 вважати відповідно пунктами 9 - 16;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5) пункт</w:t>
      </w:r>
      <w:r>
        <w:rPr>
          <w:sz w:val="36"/>
          <w:szCs w:val="36"/>
        </w:rPr>
        <w:t xml:space="preserve"> 9 викласти в такій редакції: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"9. Внесення та перебування цінних паперів іноземних емітентів (за винятком міжнародної фінансової організації) у першому рівні лістингу здійснюються при дотриманні умов, визначених пунктом 3 цього розділу, а також відповіднос</w:t>
      </w:r>
      <w:r>
        <w:rPr>
          <w:sz w:val="36"/>
          <w:szCs w:val="36"/>
        </w:rPr>
        <w:t>ті таким мінімальним вимогам: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наявність документа, який підтверджує, що цінні папери іноземного емітента допущені до обігу на території України;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знаходження цінних паперів іноземного емітента в основному рівні лістингу іноземної фондової біржі, яка є члено</w:t>
      </w:r>
      <w:r>
        <w:rPr>
          <w:sz w:val="36"/>
          <w:szCs w:val="36"/>
        </w:rPr>
        <w:t>м Світової федерації бірж.";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6) абзац перший пункту 10 після слів "іноземних емітентів" доповнити словами "(за винятком міжнародної фінансової організації)";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7) пункти 12, 13 виключити.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У зв'язку з цим пункти 14 - 16 вважати відповідно пунктами 12 - 14.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5. У розділі VI: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1) у пункті 1: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абзаци другий, третій виключити.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У зв'язку з цим абзаци четвертий - дев'ятий вважати відповідно абзацами другим - сьомим;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друге речення абзацу другого доповнити словами ", за контрактами (договорами), укладеними на односторо</w:t>
      </w:r>
      <w:r>
        <w:rPr>
          <w:sz w:val="36"/>
          <w:szCs w:val="36"/>
        </w:rPr>
        <w:t>нніх аукціонах";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абзац шостий викласти в такій редакції: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"Оприлюднена інформація про біржовий курс та результати котирування цінних паперів повинна містити щонайменше: біржовий курс із зазначенням дати його визначення, ціну відкриття; ціну закриття; ціну т</w:t>
      </w:r>
      <w:r>
        <w:rPr>
          <w:sz w:val="36"/>
          <w:szCs w:val="36"/>
        </w:rPr>
        <w:t>а обсяг кращої (найменшої) заявки на продаж та кращої (найбільшої) заявки на купівлю; обсяг укладених біржових контрактів (договорів); інформацію про невиконані та/або анульовані біржові контракти (договори).";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2) доповнити пункт 3 новими абзацами такого з</w:t>
      </w:r>
      <w:r>
        <w:rPr>
          <w:sz w:val="36"/>
          <w:szCs w:val="36"/>
        </w:rPr>
        <w:t>місту: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"Серед зобов'язань, що бере на себе маркет-мейкер для підтримання ліквідності лістингових цінних паперів та/або цінних паперів, які використовуються для розрахунку біржового фондового індексу, мають бути такі зобов'язання: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підтримання двосторонніх к</w:t>
      </w:r>
      <w:r>
        <w:rPr>
          <w:sz w:val="36"/>
          <w:szCs w:val="36"/>
        </w:rPr>
        <w:t>отирувань не менше 70 % часу торговельного дня;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граничний спред двостороннього котирування - не більше 5 %;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МДО - не менше 20000 грн (для боргового цінного папера - не менше 200000 грн);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підтримання односторонніх котирувань протягом торговельного дня лише </w:t>
      </w:r>
      <w:r>
        <w:rPr>
          <w:sz w:val="36"/>
          <w:szCs w:val="36"/>
        </w:rPr>
        <w:t>після укладання біржових контрактів (договорів) на підставі двосторонніх котирувань протягом цього торговельного дня на загальну суму не менше 300000 грн (для боргового цінного папера - не менше 3000000 грн).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Серед зобов'язань, що бере на себе маркет-мейке</w:t>
      </w:r>
      <w:r>
        <w:rPr>
          <w:sz w:val="36"/>
          <w:szCs w:val="36"/>
        </w:rPr>
        <w:t>р для підтримання ліквідності позалістингових цінних паперів та інших фінансових інструментів, мають бути такі зобов'язання: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підтримання двосторонніх котирувань не менше 60 % часу торговельного дня;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граничний спред двостороннього котирування - не більше 10</w:t>
      </w:r>
      <w:r>
        <w:rPr>
          <w:sz w:val="36"/>
          <w:szCs w:val="36"/>
        </w:rPr>
        <w:t xml:space="preserve"> %;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МДО - не менше 20000 грн (для боргового цінного папера - не менше 200000 грн);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підтримання односторонніх котирувань протягом торговельного дня лише після укладання біржових контрактів (договорів) на підставі двосторонніх котирувань протягом цього торго</w:t>
      </w:r>
      <w:r>
        <w:rPr>
          <w:sz w:val="36"/>
          <w:szCs w:val="36"/>
        </w:rPr>
        <w:t>вельного дня на загальну суму не менше 100000 грн (для боргового цінного папера - не менше 1000000 грн).".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6. У розділі VIII: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1) пункт 1 після абзацу п'ятого доповнити новими абзацами шостим - дев'ятим такого змісту: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"ціну відкриття;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ціну закриття;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ціну та</w:t>
      </w:r>
      <w:r>
        <w:rPr>
          <w:sz w:val="36"/>
          <w:szCs w:val="36"/>
        </w:rPr>
        <w:t xml:space="preserve"> обсяг кращої (найменшої) заявки на продаж та кращої (найбільшої) заявки на купівлю;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ринкову капіталізацію емітента (середнє значення ринкової капіталізації);".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У зв'язку з цим абзаци шостий, сьомий вважати відповідно абзацами десятим, одинадцятим;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2) у пу</w:t>
      </w:r>
      <w:r>
        <w:rPr>
          <w:sz w:val="36"/>
          <w:szCs w:val="36"/>
        </w:rPr>
        <w:t>нкті 4: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в абзаці першому слова ", а також інформація може бути оприлюднена в періодичному друкованому виданні фондової біржі та/або офіційному друкованому виданні Комісії" виключити;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в абзаці другому слова "та подається до загальнодоступної інформаційної б</w:t>
      </w:r>
      <w:r>
        <w:rPr>
          <w:sz w:val="36"/>
          <w:szCs w:val="36"/>
        </w:rPr>
        <w:t>ази даних Комісії, а також може публікуватись у засобах масової інформації (зокрема електронних) та" замінити словами "(у цілодобовому режимі) та може";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3) пункти 5 - 8 виключити.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У зв'язку з цим пункти 9 - 11 вважати відповідно пунктами 5 - 7.</w:t>
      </w:r>
    </w:p>
    <w:p w:rsidR="00000000" w:rsidRDefault="00F5133F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7. У пункті 1 розділу IX слова "оприлюдненням біржового курсу цінних паперів та котируванням цінних паперів та інших фінансових інструментів; розкриттям інформації про діяльність фондової біржі та її оприлюдненням;" виключити.</w:t>
      </w:r>
    </w:p>
    <w:p w:rsidR="00000000" w:rsidRDefault="00F5133F">
      <w:pPr>
        <w:pStyle w:val="a3"/>
        <w:jc w:val="both"/>
      </w:pPr>
      <w:r>
        <w:rPr>
          <w:sz w:val="36"/>
          <w:szCs w:val="36"/>
        </w:rPr>
        <w:t> </w:t>
      </w:r>
    </w:p>
    <w:tbl>
      <w:tblPr>
        <w:tblW w:w="500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893"/>
        <w:gridCol w:w="4894"/>
      </w:tblGrid>
      <w:tr w:rsidR="00000000">
        <w:trPr>
          <w:tblCellSpacing w:w="22" w:type="dxa"/>
        </w:trPr>
        <w:tc>
          <w:tcPr>
            <w:tcW w:w="2500" w:type="pct"/>
            <w:vAlign w:val="bottom"/>
            <w:hideMark/>
          </w:tcPr>
          <w:p w:rsidR="00000000" w:rsidRDefault="00F5133F">
            <w:pPr>
              <w:pStyle w:val="a3"/>
              <w:jc w:val="center"/>
            </w:pPr>
            <w:r>
              <w:rPr>
                <w:b/>
                <w:bCs/>
                <w:sz w:val="36"/>
                <w:szCs w:val="36"/>
              </w:rPr>
              <w:t>Директор департаменту</w:t>
            </w:r>
            <w:r>
              <w:rPr>
                <w:sz w:val="36"/>
                <w:szCs w:val="36"/>
              </w:rPr>
              <w:br/>
            </w:r>
            <w:r>
              <w:rPr>
                <w:b/>
                <w:bCs/>
                <w:sz w:val="36"/>
                <w:szCs w:val="36"/>
              </w:rPr>
              <w:t>ре</w:t>
            </w:r>
            <w:r>
              <w:rPr>
                <w:b/>
                <w:bCs/>
                <w:sz w:val="36"/>
                <w:szCs w:val="36"/>
              </w:rPr>
              <w:t>гулювання діяльності торговців</w:t>
            </w:r>
            <w:r>
              <w:rPr>
                <w:sz w:val="36"/>
                <w:szCs w:val="36"/>
              </w:rPr>
              <w:br/>
            </w:r>
            <w:r>
              <w:rPr>
                <w:b/>
                <w:bCs/>
                <w:sz w:val="36"/>
                <w:szCs w:val="36"/>
              </w:rPr>
              <w:t>цінними паперами та фондових бірж</w:t>
            </w:r>
          </w:p>
        </w:tc>
        <w:tc>
          <w:tcPr>
            <w:tcW w:w="2500" w:type="pct"/>
            <w:vAlign w:val="bottom"/>
            <w:hideMark/>
          </w:tcPr>
          <w:p w:rsidR="00000000" w:rsidRDefault="00F5133F">
            <w:pPr>
              <w:pStyle w:val="a3"/>
              <w:jc w:val="center"/>
            </w:pPr>
            <w:r>
              <w:rPr>
                <w:b/>
                <w:bCs/>
                <w:sz w:val="36"/>
                <w:szCs w:val="36"/>
              </w:rPr>
              <w:t>І. Устенко</w:t>
            </w:r>
          </w:p>
        </w:tc>
      </w:tr>
    </w:tbl>
    <w:p w:rsidR="00000000" w:rsidRDefault="00F5133F">
      <w:pPr>
        <w:pStyle w:val="a3"/>
        <w:jc w:val="both"/>
      </w:pPr>
      <w:r>
        <w:br w:type="textWrapping" w:clear="all"/>
      </w:r>
    </w:p>
    <w:p w:rsidR="00000000" w:rsidRDefault="00F5133F">
      <w:pPr>
        <w:pStyle w:val="a3"/>
        <w:jc w:val="both"/>
      </w:pPr>
      <w:r>
        <w:rPr>
          <w:sz w:val="36"/>
          <w:szCs w:val="36"/>
        </w:rPr>
        <w:t> 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14"/>
        <w:gridCol w:w="1215"/>
      </w:tblGrid>
      <w:tr w:rsidR="00000000">
        <w:trPr>
          <w:tblCellSpacing w:w="15" w:type="dxa"/>
        </w:trPr>
        <w:tc>
          <w:tcPr>
            <w:tcW w:w="4500" w:type="pct"/>
            <w:vAlign w:val="center"/>
            <w:hideMark/>
          </w:tcPr>
          <w:p w:rsidR="00000000" w:rsidRDefault="00F513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© ТОВ "Інформаційно-аналітичний центр "ЛІГА", 2015</w:t>
            </w:r>
            <w:r>
              <w:rPr>
                <w:rFonts w:eastAsia="Times New Roman"/>
              </w:rPr>
              <w:br/>
              <w:t>© ТОВ "ЛІГА ЗАКОН", 2015</w:t>
            </w:r>
          </w:p>
        </w:tc>
        <w:tc>
          <w:tcPr>
            <w:tcW w:w="500" w:type="pct"/>
            <w:vAlign w:val="center"/>
            <w:hideMark/>
          </w:tcPr>
          <w:p w:rsidR="00000000" w:rsidRDefault="00F5133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95325" cy="314325"/>
                  <wp:effectExtent l="19050" t="0" r="9525" b="0"/>
                  <wp:docPr id="2" name="Рисунок 2" descr="C:\Users\n.goncharuk\AppData\Roaming\Liga70\Client\Session\LOGOTYPE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n.goncharuk\AppData\Roaming\Liga70\Client\Session\LOGOTYPE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133F" w:rsidRDefault="00F5133F">
      <w:pPr>
        <w:rPr>
          <w:rFonts w:eastAsia="Times New Roman"/>
        </w:rPr>
      </w:pPr>
    </w:p>
    <w:sectPr w:rsidR="00F5133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20"/>
  <w:defaultTabStop w:val="708"/>
  <w:hyphenationZone w:val="425"/>
  <w:noPunctuationKerning/>
  <w:characterSpacingControl w:val="doNotCompress"/>
  <w:compat/>
  <w:rsids>
    <w:rsidRoot w:val="00A02ECF"/>
    <w:rsid w:val="00A02ECF"/>
    <w:rsid w:val="00F5133F"/>
    <w:rsid w:val="00FC3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E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E5D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file:///C:\Users\n.goncharuk\AppData\Roaming\Liga70\Client\Session\LOGOTYPE.BMP" TargetMode="External"/><Relationship Id="rId4" Type="http://schemas.openxmlformats.org/officeDocument/2006/relationships/image" Target="file:///C:\Users\n.goncharuk\AppData\Roaming\Liga70\Client\Session\TSIGN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18628</Words>
  <Characters>10618</Characters>
  <Application>Microsoft Office Word</Application>
  <DocSecurity>0</DocSecurity>
  <Lines>88</Lines>
  <Paragraphs>58</Paragraphs>
  <ScaleCrop>false</ScaleCrop>
  <Company>Grizli777</Company>
  <LinksUpToDate>false</LinksUpToDate>
  <CharactersWithSpaces>29188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Гончарук Наталья</dc:creator>
  <cp:lastModifiedBy>Гончарук Наталья</cp:lastModifiedBy>
  <cp:revision>2</cp:revision>
  <dcterms:created xsi:type="dcterms:W3CDTF">2015-09-14T12:48:00Z</dcterms:created>
  <dcterms:modified xsi:type="dcterms:W3CDTF">2015-09-14T12:48:00Z</dcterms:modified>
</cp:coreProperties>
</file>