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3616B">
      <w:pPr>
        <w:pStyle w:val="a3"/>
        <w:jc w:val="center"/>
      </w:pPr>
      <w:r>
        <w:rPr>
          <w:noProof/>
        </w:rPr>
        <w:drawing>
          <wp:inline distT="0" distB="0" distL="0" distR="0">
            <wp:extent cx="666750" cy="914400"/>
            <wp:effectExtent l="19050" t="0" r="0" b="0"/>
            <wp:docPr id="1" name="Рисунок 1" descr="C:\Users\s.lastivka\AppData\Roaming\Liga70\Client\Session\TSIG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.lastivka\AppData\Roaming\Liga70\Client\Session\TSIGN.GIF"/>
                    <pic:cNvPicPr>
                      <a:picLocks noChangeAspect="1" noChangeArrowheads="1"/>
                    </pic:cNvPicPr>
                  </pic:nvPicPr>
                  <pic:blipFill>
                    <a:blip r:link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83616B">
      <w:pPr>
        <w:pStyle w:val="a3"/>
        <w:jc w:val="center"/>
        <w:rPr>
          <w:sz w:val="27"/>
          <w:szCs w:val="27"/>
        </w:rPr>
      </w:pPr>
      <w:r>
        <w:rPr>
          <w:b/>
          <w:bCs/>
          <w:sz w:val="27"/>
          <w:szCs w:val="27"/>
        </w:rPr>
        <w:t>НАЦІОНАЛЬНИЙ БАНК УКРАЇНИ</w:t>
      </w:r>
    </w:p>
    <w:p w:rsidR="00000000" w:rsidRDefault="0083616B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ЛИСТ</w:t>
      </w:r>
    </w:p>
    <w:p w:rsidR="00000000" w:rsidRDefault="0083616B">
      <w:pPr>
        <w:pStyle w:val="a3"/>
        <w:jc w:val="center"/>
      </w:pPr>
      <w:r>
        <w:rPr>
          <w:b/>
          <w:bCs/>
        </w:rPr>
        <w:t>від 27.05.2016 р. N 18-0005/45234</w:t>
      </w:r>
    </w:p>
    <w:tbl>
      <w:tblPr>
        <w:tblW w:w="4500" w:type="pct"/>
        <w:jc w:val="center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404"/>
        <w:gridCol w:w="4404"/>
      </w:tblGrid>
      <w:tr w:rsidR="00000000">
        <w:trPr>
          <w:tblCellSpacing w:w="22" w:type="dxa"/>
          <w:jc w:val="center"/>
        </w:trPr>
        <w:tc>
          <w:tcPr>
            <w:tcW w:w="2500" w:type="pct"/>
            <w:hideMark/>
          </w:tcPr>
          <w:p w:rsidR="00000000" w:rsidRDefault="0083616B">
            <w:pPr>
              <w:pStyle w:val="a3"/>
            </w:pPr>
            <w:r>
              <w:t>Юридичний департамент</w:t>
            </w:r>
          </w:p>
        </w:tc>
        <w:tc>
          <w:tcPr>
            <w:tcW w:w="2500" w:type="pct"/>
            <w:hideMark/>
          </w:tcPr>
          <w:p w:rsidR="00000000" w:rsidRDefault="0083616B">
            <w:pPr>
              <w:pStyle w:val="a3"/>
            </w:pPr>
            <w:r>
              <w:t>Банкам України</w:t>
            </w:r>
            <w:r>
              <w:br/>
              <w:t>Незалежній асоціації банків України</w:t>
            </w:r>
            <w:r>
              <w:br/>
              <w:t>Асоціації українських банків</w:t>
            </w:r>
          </w:p>
        </w:tc>
      </w:tr>
    </w:tbl>
    <w:p w:rsidR="00000000" w:rsidRDefault="0083616B">
      <w:pPr>
        <w:pStyle w:val="a3"/>
        <w:jc w:val="center"/>
      </w:pPr>
      <w:r>
        <w:br w:type="textWrapping" w:clear="all"/>
      </w:r>
    </w:p>
    <w:p w:rsidR="00000000" w:rsidRDefault="0083616B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Щодо встановлення відомостей про місце проживання / місцезнаходження клієнтів</w:t>
      </w:r>
    </w:p>
    <w:p w:rsidR="00000000" w:rsidRDefault="0083616B">
      <w:pPr>
        <w:pStyle w:val="a3"/>
        <w:jc w:val="both"/>
      </w:pPr>
      <w:r>
        <w:t>У зв'язку із запитом щодо надання роз'яснень стосовно порядку встановлення відомостей про місце проживання / місцезнаходження клієнтів при відкритті рахунків у зв'язку з переймен</w:t>
      </w:r>
      <w:r>
        <w:t>уванням населеного пункту або вулиці (проспекту, бульвару тощо) Національний банк України повідомляє наступне.</w:t>
      </w:r>
    </w:p>
    <w:p w:rsidR="00000000" w:rsidRDefault="0083616B">
      <w:pPr>
        <w:pStyle w:val="a3"/>
        <w:jc w:val="both"/>
      </w:pPr>
      <w:r>
        <w:t>Відповідно до пункту 2.1 глави 2 Інструкції про порядок відкриття, використання і закриття рахунків у національній та іноземних валютах, затвердж</w:t>
      </w:r>
      <w:r>
        <w:t xml:space="preserve">еної </w:t>
      </w:r>
      <w:r>
        <w:rPr>
          <w:color w:val="0000FF"/>
        </w:rPr>
        <w:t>постановою Правління Національного банку України від 12.11.2003 N 492</w:t>
      </w:r>
      <w:r>
        <w:t xml:space="preserve"> (далі - Інструкція N 492), банки зобов'язані на підставі офіційних документів або засвідчених в установленому законодавством України порядку їх копій ідентифікувати та верифікувати </w:t>
      </w:r>
      <w:r>
        <w:t>клієнтів - власників рахунків/представників власників рахунків/осіб, які відкривають рахунки на користь третіх осіб у порядку, установленому законодавством України з питань запобігання та протидії легалізації (відмиванню) доходів, одержаних злочинним шляхо</w:t>
      </w:r>
      <w:r>
        <w:t>м, фінансуванню тероризму та фінансуванню розповсюдження зброї масового знищення та нормативно-правовим актом Національного банку з питань фінансового моніторингу.</w:t>
      </w:r>
    </w:p>
    <w:p w:rsidR="00000000" w:rsidRDefault="0083616B">
      <w:pPr>
        <w:pStyle w:val="a3"/>
        <w:jc w:val="both"/>
      </w:pPr>
      <w:r>
        <w:t xml:space="preserve">Згідно з абзацом 1 </w:t>
      </w:r>
      <w:r>
        <w:rPr>
          <w:color w:val="0000FF"/>
        </w:rPr>
        <w:t>пункту 2.3 глави 2 Інструкції N 492</w:t>
      </w:r>
      <w:r>
        <w:t xml:space="preserve"> банк під час ідентифікації та верифік</w:t>
      </w:r>
      <w:r>
        <w:t xml:space="preserve">ації клієнта встановлює ідентифікаційні дані про цього клієнта, передбачені </w:t>
      </w:r>
      <w:r>
        <w:rPr>
          <w:color w:val="0000FF"/>
        </w:rPr>
        <w:t>статтею 9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</w:t>
      </w:r>
      <w:r>
        <w:rPr>
          <w:color w:val="0000FF"/>
        </w:rPr>
        <w:t>вого знищення"</w:t>
      </w:r>
      <w:r>
        <w:t xml:space="preserve"> (далі - Закон).</w:t>
      </w:r>
    </w:p>
    <w:p w:rsidR="00000000" w:rsidRDefault="0083616B">
      <w:pPr>
        <w:pStyle w:val="a3"/>
        <w:jc w:val="both"/>
      </w:pPr>
      <w:r>
        <w:rPr>
          <w:color w:val="0000FF"/>
        </w:rPr>
        <w:t>Пунктом 7 статті 9 Закону</w:t>
      </w:r>
      <w:r>
        <w:t xml:space="preserve"> визначено, що реквізити банку, в якому відкрито рахунок клієнту, номер поточного рахунка, місце проживання або місце перебування фізичної особи - резидента України (місце проживання або місце тимчасо</w:t>
      </w:r>
      <w:r>
        <w:t xml:space="preserve">вого перебування фізичної особи - нерезидента в Україні), відомості про виконавчий орган, а також інша інформація, необхідна для вивчення клієнта, </w:t>
      </w:r>
      <w:r>
        <w:rPr>
          <w:u w:val="single"/>
        </w:rPr>
        <w:t>встановлюються суб'єктом первинного фінансового моніторингу на підставі офіційних документів</w:t>
      </w:r>
      <w:r>
        <w:t xml:space="preserve"> та/або інформаці</w:t>
      </w:r>
      <w:r>
        <w:t xml:space="preserve">ї, одержаної від клієнта (представника клієнта) та засвідченої ним, </w:t>
      </w:r>
      <w:r>
        <w:rPr>
          <w:u w:val="single"/>
        </w:rPr>
        <w:t>а також з інших джерел, якщо така інформація є публічною (відкритою)</w:t>
      </w:r>
      <w:r>
        <w:t>.</w:t>
      </w:r>
    </w:p>
    <w:p w:rsidR="00000000" w:rsidRDefault="0083616B">
      <w:pPr>
        <w:pStyle w:val="a3"/>
        <w:jc w:val="both"/>
      </w:pPr>
      <w:r>
        <w:t xml:space="preserve">Частиною одинадцятою </w:t>
      </w:r>
      <w:r>
        <w:rPr>
          <w:color w:val="0000FF"/>
        </w:rPr>
        <w:t>статті 5 Закону України "Про географічні назви"</w:t>
      </w:r>
      <w:r>
        <w:t xml:space="preserve"> передбачено випадки перейменування географічних о</w:t>
      </w:r>
      <w:r>
        <w:t xml:space="preserve">б'єктів, зокрема, у зв'язку з необхідністю приведення назви географічного об'єкта у відповідність із вимогами </w:t>
      </w:r>
      <w:r>
        <w:rPr>
          <w:color w:val="0000FF"/>
        </w:rPr>
        <w:t>Закону України "Про засудження комуністичного та націонал-соціалістичного (нацистського) тоталітарних режимів в Україні та заборону пропаганди їхн</w:t>
      </w:r>
      <w:r>
        <w:rPr>
          <w:color w:val="0000FF"/>
        </w:rPr>
        <w:t>ьої символіки"</w:t>
      </w:r>
      <w:r>
        <w:t xml:space="preserve">. При цьому відповідно до частини тринадцятої та чотирнадцятої </w:t>
      </w:r>
      <w:r>
        <w:rPr>
          <w:color w:val="0000FF"/>
        </w:rPr>
        <w:t>статті 6 Закону України "Про свободу пересування та вільний вибір місця проживання в Україні"</w:t>
      </w:r>
      <w:r>
        <w:t xml:space="preserve"> у разі прийняття рішення про зміну нумерації будинків, перейменування вулиць (проспек</w:t>
      </w:r>
      <w:r>
        <w:t xml:space="preserve">тів, бульварів, площ, провулків, кварталів тощо), населених пунктів, адміністративно-територіальних одиниць, зміни в адміністративно-територіальному устрої зазначені відомості </w:t>
      </w:r>
      <w:r>
        <w:rPr>
          <w:u w:val="single"/>
        </w:rPr>
        <w:t>за бажанням особи</w:t>
      </w:r>
      <w:r>
        <w:t xml:space="preserve"> вносяться до документів, які містять відомості про місце прожи</w:t>
      </w:r>
      <w:r>
        <w:t>вання / перебування особи.</w:t>
      </w:r>
    </w:p>
    <w:p w:rsidR="00000000" w:rsidRDefault="0083616B">
      <w:pPr>
        <w:pStyle w:val="a3"/>
        <w:jc w:val="both"/>
      </w:pPr>
      <w:r>
        <w:t>Також, законодавством України не встановлено строки для внесення юридичними особами змін до Єдиного державного реєстру юридичних осіб, фізичних осіб - підприємців та громадських формувань в частині відомостей про місцезнаходження</w:t>
      </w:r>
      <w:r>
        <w:t xml:space="preserve"> юридичної особи у зв'язку із прийняттям рішення про зміну нумерації будинків, перейменування вулиць (проспектів, бульварів, площ, провулків, кварталів тощо), населених пунктів, адміністративно-територіальних одиниць, зміни в адміністративно-територіальном</w:t>
      </w:r>
      <w:r>
        <w:t>у устрої.</w:t>
      </w:r>
    </w:p>
    <w:p w:rsidR="00000000" w:rsidRDefault="0083616B">
      <w:pPr>
        <w:pStyle w:val="a3"/>
        <w:jc w:val="both"/>
      </w:pPr>
      <w:r>
        <w:t>З огляду на зазначене, під час відкриття рахунків клієнтам, місце проживання або місцезнаходження яких зареєстровано за адресами, щодо яких прийнято рішення про зміну нумерації будинків, перейменування вулиць (проспектів, бульварів, площ, провулк</w:t>
      </w:r>
      <w:r>
        <w:t>ів, кварталів тощо), населених пунктів, адміністративно-територіальних одиниць, зміни в адміністративно-територіальному устрої банки мають додавати до справ з юридичного оформлення рахунків відповідні рішення Верховної Ради України або органів місцевого са</w:t>
      </w:r>
      <w:r>
        <w:t>моврядування.</w:t>
      </w:r>
    </w:p>
    <w:p w:rsidR="00000000" w:rsidRDefault="0083616B">
      <w:pPr>
        <w:pStyle w:val="a3"/>
        <w:jc w:val="both"/>
      </w:pPr>
      <w:r>
        <w:t> </w:t>
      </w:r>
    </w:p>
    <w:tbl>
      <w:tblPr>
        <w:tblW w:w="5000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893"/>
        <w:gridCol w:w="4894"/>
      </w:tblGrid>
      <w:tr w:rsidR="00000000">
        <w:trPr>
          <w:tblCellSpacing w:w="22" w:type="dxa"/>
        </w:trPr>
        <w:tc>
          <w:tcPr>
            <w:tcW w:w="2500" w:type="pct"/>
            <w:hideMark/>
          </w:tcPr>
          <w:p w:rsidR="00000000" w:rsidRDefault="0083616B">
            <w:pPr>
              <w:pStyle w:val="a3"/>
              <w:jc w:val="center"/>
            </w:pPr>
            <w:r>
              <w:rPr>
                <w:b/>
                <w:bCs/>
              </w:rPr>
              <w:t>Заступник Голови</w:t>
            </w:r>
          </w:p>
        </w:tc>
        <w:tc>
          <w:tcPr>
            <w:tcW w:w="2500" w:type="pct"/>
            <w:hideMark/>
          </w:tcPr>
          <w:p w:rsidR="00000000" w:rsidRDefault="0083616B">
            <w:pPr>
              <w:pStyle w:val="a3"/>
              <w:jc w:val="center"/>
            </w:pPr>
            <w:r>
              <w:rPr>
                <w:b/>
                <w:bCs/>
              </w:rPr>
              <w:t>Я. В. Смолій</w:t>
            </w:r>
          </w:p>
        </w:tc>
      </w:tr>
    </w:tbl>
    <w:p w:rsidR="00000000" w:rsidRDefault="0083616B">
      <w:pPr>
        <w:pStyle w:val="a3"/>
        <w:jc w:val="both"/>
      </w:pPr>
      <w:r>
        <w:br w:type="textWrapping" w:clear="all"/>
      </w:r>
    </w:p>
    <w:p w:rsidR="00000000" w:rsidRDefault="0083616B">
      <w:pPr>
        <w:pStyle w:val="a3"/>
        <w:jc w:val="both"/>
      </w:pPr>
      <w:r>
        <w:t> 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14"/>
        <w:gridCol w:w="1215"/>
      </w:tblGrid>
      <w:tr w:rsidR="00000000">
        <w:trPr>
          <w:tblCellSpacing w:w="15" w:type="dxa"/>
        </w:trPr>
        <w:tc>
          <w:tcPr>
            <w:tcW w:w="4500" w:type="pct"/>
            <w:vAlign w:val="center"/>
            <w:hideMark/>
          </w:tcPr>
          <w:p w:rsidR="00000000" w:rsidRDefault="0083616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© ТОВ "Інформаційно-аналітичний центр "ЛІГА", 2016</w:t>
            </w:r>
            <w:r>
              <w:rPr>
                <w:rFonts w:eastAsia="Times New Roman"/>
              </w:rPr>
              <w:br/>
              <w:t>© ТОВ "ЛІГА ЗАКОН", 2016</w:t>
            </w:r>
          </w:p>
        </w:tc>
        <w:tc>
          <w:tcPr>
            <w:tcW w:w="500" w:type="pct"/>
            <w:vAlign w:val="center"/>
            <w:hideMark/>
          </w:tcPr>
          <w:p w:rsidR="00000000" w:rsidRDefault="0083616B">
            <w:pPr>
              <w:rPr>
                <w:rFonts w:eastAsia="Times New Roman"/>
              </w:rPr>
            </w:pPr>
            <w:r>
              <w:rPr>
                <w:rFonts w:eastAsia="Times New Roman"/>
                <w:noProof/>
              </w:rPr>
              <w:drawing>
                <wp:inline distT="0" distB="0" distL="0" distR="0">
                  <wp:extent cx="695325" cy="314325"/>
                  <wp:effectExtent l="19050" t="0" r="9525" b="0"/>
                  <wp:docPr id="2" name="Рисунок 2" descr="C:\Users\s.lastivka\AppData\Roaming\Liga70\Client\Session\LOGOTYPE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.lastivka\AppData\Roaming\Liga70\Client\Session\LOGOTYPE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616B" w:rsidRDefault="0083616B">
      <w:pPr>
        <w:rPr>
          <w:rFonts w:eastAsia="Times New Roman"/>
        </w:rPr>
      </w:pPr>
    </w:p>
    <w:sectPr w:rsidR="008361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defaultTabStop w:val="708"/>
  <w:hyphenationZone w:val="425"/>
  <w:noPunctuationKerning/>
  <w:characterSpacingControl w:val="doNotCompress"/>
  <w:compat/>
  <w:rsids>
    <w:rsidRoot w:val="006F2488"/>
    <w:rsid w:val="006F2488"/>
    <w:rsid w:val="0083616B"/>
    <w:rsid w:val="00CA6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CA64B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64B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s.lastivka\AppData\Roaming\Liga70\Client\Session\LOGOTYPE.BMP" TargetMode="External"/><Relationship Id="rId4" Type="http://schemas.openxmlformats.org/officeDocument/2006/relationships/image" Target="file:///C:\Users\s.lastivka\AppData\Roaming\Liga70\Client\Session\TSIGN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2801</Words>
  <Characters>1598</Characters>
  <Application>Microsoft Office Word</Application>
  <DocSecurity>0</DocSecurity>
  <Lines>13</Lines>
  <Paragraphs>8</Paragraphs>
  <ScaleCrop>false</ScaleCrop>
  <Company/>
  <LinksUpToDate>false</LinksUpToDate>
  <CharactersWithSpaces>4391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s.lastivka</dc:creator>
  <cp:lastModifiedBy>s.lastivka</cp:lastModifiedBy>
  <cp:revision>2</cp:revision>
  <dcterms:created xsi:type="dcterms:W3CDTF">2016-05-31T07:22:00Z</dcterms:created>
  <dcterms:modified xsi:type="dcterms:W3CDTF">2016-05-31T07:22:00Z</dcterms:modified>
</cp:coreProperties>
</file>