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3EB" w:rsidRDefault="00FB33EB" w:rsidP="00FB33EB">
      <w:pPr>
        <w:spacing w:after="0" w:line="240" w:lineRule="auto"/>
        <w:jc w:val="center"/>
        <w:rPr>
          <w:b/>
          <w:u w:val="single"/>
          <w:lang w:val="en-US"/>
        </w:rPr>
      </w:pPr>
      <w:r w:rsidRPr="00FB33EB">
        <w:rPr>
          <w:lang w:val="en-US"/>
        </w:rPr>
        <w:drawing>
          <wp:inline distT="0" distB="0" distL="0" distR="0">
            <wp:extent cx="1375410" cy="753745"/>
            <wp:effectExtent l="19050" t="0" r="0" b="0"/>
            <wp:docPr id="1" name="Рисунок 1" descr="pard-af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pard-afp-logo"/>
                    <pic:cNvPicPr>
                      <a:picLocks noChangeAspect="1" noChangeArrowheads="1"/>
                    </pic:cNvPicPr>
                  </pic:nvPicPr>
                  <pic:blipFill>
                    <a:blip r:embed="rId5"/>
                    <a:srcRect/>
                    <a:stretch>
                      <a:fillRect/>
                    </a:stretch>
                  </pic:blipFill>
                  <pic:spPr bwMode="auto">
                    <a:xfrm>
                      <a:off x="0" y="0"/>
                      <a:ext cx="1375410" cy="753745"/>
                    </a:xfrm>
                    <a:prstGeom prst="rect">
                      <a:avLst/>
                    </a:prstGeom>
                    <a:noFill/>
                    <a:ln w="9525">
                      <a:noFill/>
                      <a:miter lim="800000"/>
                      <a:headEnd/>
                      <a:tailEnd/>
                    </a:ln>
                  </pic:spPr>
                </pic:pic>
              </a:graphicData>
            </a:graphic>
          </wp:inline>
        </w:drawing>
      </w:r>
    </w:p>
    <w:p w:rsidR="00440F7B" w:rsidRPr="00FB33EB" w:rsidRDefault="00FB33EB" w:rsidP="00440F7B">
      <w:pPr>
        <w:spacing w:after="0" w:line="240" w:lineRule="auto"/>
        <w:jc w:val="right"/>
        <w:rPr>
          <w:b/>
          <w:u w:val="single"/>
          <w:lang w:val="ru-RU"/>
        </w:rPr>
      </w:pPr>
      <w:r>
        <w:rPr>
          <w:b/>
          <w:u w:val="single"/>
          <w:lang w:val="ru-RU"/>
        </w:rPr>
        <w:t>ПРОЕКТ</w:t>
      </w:r>
    </w:p>
    <w:p w:rsidR="00440F7B" w:rsidRPr="00FB33EB" w:rsidRDefault="00440F7B" w:rsidP="00297026">
      <w:pPr>
        <w:spacing w:after="0" w:line="240" w:lineRule="auto"/>
        <w:jc w:val="center"/>
        <w:rPr>
          <w:b/>
          <w:lang w:val="ru-RU"/>
        </w:rPr>
      </w:pPr>
    </w:p>
    <w:p w:rsidR="000B4C58" w:rsidRDefault="00263AD0" w:rsidP="00297026">
      <w:pPr>
        <w:spacing w:after="0" w:line="240" w:lineRule="auto"/>
        <w:jc w:val="center"/>
        <w:rPr>
          <w:b/>
        </w:rPr>
      </w:pPr>
      <w:r w:rsidRPr="00263AD0">
        <w:rPr>
          <w:b/>
        </w:rPr>
        <w:t xml:space="preserve">Щодо забезпечення ліцензіатом доступу до приміщення та доступність фінансових послуг інвалідам та маломобільним групам населення </w:t>
      </w:r>
    </w:p>
    <w:p w:rsidR="00297026" w:rsidRPr="00297026" w:rsidRDefault="004B2EEC" w:rsidP="004B2EEC">
      <w:pPr>
        <w:tabs>
          <w:tab w:val="left" w:pos="5372"/>
        </w:tabs>
        <w:spacing w:after="0" w:line="240" w:lineRule="auto"/>
        <w:rPr>
          <w:b/>
        </w:rPr>
      </w:pPr>
      <w:r>
        <w:rPr>
          <w:b/>
        </w:rPr>
        <w:tab/>
      </w:r>
    </w:p>
    <w:p w:rsidR="00AD0B3A" w:rsidRDefault="00263AD0" w:rsidP="00AD0B3A">
      <w:pPr>
        <w:spacing w:after="0" w:line="240" w:lineRule="auto"/>
        <w:jc w:val="both"/>
        <w:rPr>
          <w:rFonts w:ascii="Times New Roman" w:hAnsi="Times New Roman"/>
          <w:szCs w:val="24"/>
        </w:rPr>
      </w:pPr>
      <w:r>
        <w:tab/>
      </w:r>
      <w:r w:rsidR="00297026">
        <w:t>Змінами до Ліцензійних умов провадження професійної діяльності на фондовому ринку</w:t>
      </w:r>
      <w:r w:rsidR="003A0CE9">
        <w:t xml:space="preserve"> (ринку цінних паперів)</w:t>
      </w:r>
      <w:r w:rsidR="00297026">
        <w:t xml:space="preserve"> – депозитарної діяльності </w:t>
      </w:r>
      <w:r w:rsidR="003A0CE9">
        <w:t xml:space="preserve">та клірингової діяльності (рішення НКЦПФР від </w:t>
      </w:r>
      <w:r w:rsidR="00517F6B">
        <w:t xml:space="preserve">15.03.2016 року №282) та </w:t>
      </w:r>
      <w:r w:rsidR="00AD0B3A">
        <w:t xml:space="preserve">Ліцензійних умов провадження професійної діяльності на фондовому ринку (ринку цінних паперів) – діяльності з торгівлі цінними паперами (рішення НКЦПФР від 10.03.2016 року №269) встановлено, що </w:t>
      </w:r>
      <w:r w:rsidR="00AD0B3A" w:rsidRPr="003C0D9C">
        <w:rPr>
          <w:b/>
          <w:u w:val="single"/>
        </w:rPr>
        <w:t xml:space="preserve">ліцензіат </w:t>
      </w:r>
      <w:r w:rsidR="00AD0B3A" w:rsidRPr="003C0D9C">
        <w:rPr>
          <w:rFonts w:ascii="Times New Roman" w:hAnsi="Times New Roman"/>
          <w:b/>
          <w:szCs w:val="24"/>
          <w:u w:val="single"/>
        </w:rPr>
        <w:t>зобов'язаний забезпечити доступ до приміщення та доступність послуг, які надаються згідно з ліцензією на провадження професійної діяльності на фондовому ринку, інвалідам та маломобільним категоріям населення</w:t>
      </w:r>
      <w:r w:rsidR="00AD0B3A" w:rsidRPr="00AD0B3A">
        <w:rPr>
          <w:rFonts w:ascii="Times New Roman" w:hAnsi="Times New Roman"/>
          <w:szCs w:val="24"/>
        </w:rPr>
        <w:t>.</w:t>
      </w:r>
    </w:p>
    <w:p w:rsidR="00AD0B3A" w:rsidRPr="00AD0B3A" w:rsidRDefault="00AD0B3A" w:rsidP="00EC555A">
      <w:pPr>
        <w:spacing w:after="0" w:line="240" w:lineRule="auto"/>
        <w:jc w:val="both"/>
      </w:pPr>
      <w:r>
        <w:rPr>
          <w:rFonts w:ascii="Times New Roman" w:hAnsi="Times New Roman"/>
          <w:szCs w:val="24"/>
        </w:rPr>
        <w:tab/>
        <w:t xml:space="preserve">Змінами до Ліцензійних умов провадження депозитарної діяльності </w:t>
      </w:r>
      <w:r w:rsidR="0004602E">
        <w:rPr>
          <w:rFonts w:ascii="Times New Roman" w:hAnsi="Times New Roman"/>
          <w:szCs w:val="24"/>
        </w:rPr>
        <w:t xml:space="preserve">додатково встановлено обов’язок депозитарної установи </w:t>
      </w:r>
      <w:r w:rsidR="0004602E" w:rsidRPr="003C0D9C">
        <w:rPr>
          <w:rFonts w:ascii="Times New Roman" w:hAnsi="Times New Roman"/>
          <w:b/>
          <w:szCs w:val="24"/>
          <w:u w:val="single"/>
        </w:rPr>
        <w:t>задекларувати доступ до приміщення та доступність послуг інвалідам та маломобільним групам населення.</w:t>
      </w:r>
    </w:p>
    <w:p w:rsidR="00517F6B" w:rsidRDefault="003C0D9C" w:rsidP="00EC555A">
      <w:pPr>
        <w:tabs>
          <w:tab w:val="left" w:pos="2817"/>
        </w:tabs>
        <w:spacing w:after="0" w:line="240" w:lineRule="auto"/>
        <w:jc w:val="both"/>
        <w:rPr>
          <w:rFonts w:ascii="Times New Roman" w:hAnsi="Times New Roman"/>
        </w:rPr>
      </w:pPr>
      <w:r>
        <w:rPr>
          <w:rFonts w:ascii="Times New Roman" w:hAnsi="Times New Roman"/>
          <w:i/>
        </w:rPr>
        <w:tab/>
      </w:r>
    </w:p>
    <w:p w:rsidR="00EC555A" w:rsidRPr="007F0260" w:rsidRDefault="00EC555A" w:rsidP="00EC555A">
      <w:pPr>
        <w:tabs>
          <w:tab w:val="left" w:pos="0"/>
        </w:tabs>
        <w:spacing w:after="0" w:line="240" w:lineRule="auto"/>
        <w:jc w:val="both"/>
        <w:rPr>
          <w:rFonts w:ascii="Times New Roman" w:hAnsi="Times New Roman"/>
          <w:b/>
          <w:u w:val="single"/>
        </w:rPr>
      </w:pPr>
      <w:r>
        <w:rPr>
          <w:rFonts w:ascii="Times New Roman" w:hAnsi="Times New Roman"/>
        </w:rPr>
        <w:tab/>
      </w:r>
      <w:r w:rsidR="007F0260" w:rsidRPr="007F0260">
        <w:rPr>
          <w:rFonts w:ascii="Times New Roman" w:hAnsi="Times New Roman"/>
          <w:b/>
          <w:u w:val="single"/>
        </w:rPr>
        <w:t>Визначення</w:t>
      </w:r>
      <w:r w:rsidR="0061513B">
        <w:rPr>
          <w:rFonts w:ascii="Times New Roman" w:hAnsi="Times New Roman"/>
          <w:b/>
          <w:u w:val="single"/>
        </w:rPr>
        <w:t xml:space="preserve"> понять</w:t>
      </w:r>
    </w:p>
    <w:p w:rsidR="00BD1497" w:rsidRPr="009B49E3" w:rsidRDefault="007F0260" w:rsidP="009B49E3">
      <w:pPr>
        <w:spacing w:after="0" w:line="240" w:lineRule="auto"/>
        <w:ind w:firstLine="708"/>
        <w:jc w:val="both"/>
        <w:rPr>
          <w:rFonts w:ascii="Times New Roman" w:hAnsi="Times New Roman"/>
          <w:szCs w:val="24"/>
        </w:rPr>
      </w:pPr>
      <w:r w:rsidRPr="00B14618">
        <w:rPr>
          <w:rFonts w:ascii="Times New Roman" w:hAnsi="Times New Roman"/>
          <w:i/>
          <w:szCs w:val="24"/>
        </w:rPr>
        <w:t>Інвалідом</w:t>
      </w:r>
      <w:r>
        <w:rPr>
          <w:rFonts w:ascii="Times New Roman" w:hAnsi="Times New Roman"/>
          <w:szCs w:val="24"/>
        </w:rPr>
        <w:t xml:space="preserve"> є особа зі стійким розладом функцій організму, що при взаємодії із зовнішнім середовищем може призводити до обмеження її життєдіяльності, внаслідок чого держава зобов'язана створити умови для реалізації нею прав нарівні з іншими громадянами та забезпечити її соціальний захист (стаття 2 Закону України «Про основи соціальної захищеності інвалідів в Україні»).</w:t>
      </w:r>
    </w:p>
    <w:p w:rsidR="00BD1497" w:rsidRPr="004605A8" w:rsidRDefault="007F0260" w:rsidP="00D33184">
      <w:pPr>
        <w:shd w:val="clear" w:color="auto" w:fill="FFFFFF"/>
        <w:spacing w:line="269" w:lineRule="exact"/>
        <w:ind w:left="38" w:right="19" w:firstLine="437"/>
        <w:jc w:val="both"/>
        <w:rPr>
          <w:color w:val="000000"/>
          <w:spacing w:val="-3"/>
          <w:szCs w:val="24"/>
        </w:rPr>
      </w:pPr>
      <w:r w:rsidRPr="009B49E3">
        <w:rPr>
          <w:i/>
          <w:iCs/>
          <w:color w:val="000000"/>
          <w:spacing w:val="-1"/>
          <w:szCs w:val="24"/>
        </w:rPr>
        <w:t>Маломобільні групи населення (МГН</w:t>
      </w:r>
      <w:r w:rsidRPr="00000664">
        <w:rPr>
          <w:b/>
          <w:i/>
          <w:iCs/>
          <w:color w:val="000000"/>
          <w:spacing w:val="-1"/>
          <w:szCs w:val="24"/>
        </w:rPr>
        <w:t>)</w:t>
      </w:r>
      <w:r w:rsidRPr="00F00193">
        <w:rPr>
          <w:i/>
          <w:iCs/>
          <w:color w:val="000000"/>
          <w:spacing w:val="-1"/>
          <w:szCs w:val="24"/>
        </w:rPr>
        <w:t xml:space="preserve"> </w:t>
      </w:r>
      <w:r w:rsidRPr="00F00193">
        <w:rPr>
          <w:color w:val="000000"/>
          <w:spacing w:val="-1"/>
          <w:szCs w:val="24"/>
        </w:rPr>
        <w:t xml:space="preserve">- люди, що відчувають труднощі при самостійному </w:t>
      </w:r>
      <w:r w:rsidRPr="00F00193">
        <w:rPr>
          <w:color w:val="000000"/>
          <w:spacing w:val="-3"/>
          <w:szCs w:val="24"/>
        </w:rPr>
        <w:t>пересуванні, одержанні послуги, необхідної інформації або при орієнтуванні в просторі. До мало-мобільних груп населення тут віднесені інваліди, люди з тимчасовим порушенням здоров'я, вагітні жінки, люди старшого (похилого) віку, люди з дитячими колясками тощо</w:t>
      </w:r>
      <w:r w:rsidR="009B49E3">
        <w:rPr>
          <w:color w:val="000000"/>
          <w:spacing w:val="-3"/>
          <w:szCs w:val="24"/>
        </w:rPr>
        <w:t xml:space="preserve"> (розділ 3 ДБН В.2.2-17:2006 «Доступність будинків і споруд для маломобільних груп населення»).</w:t>
      </w:r>
    </w:p>
    <w:p w:rsidR="004605A8" w:rsidRDefault="005126FA" w:rsidP="00910C63">
      <w:pPr>
        <w:shd w:val="clear" w:color="auto" w:fill="FFFFFF"/>
        <w:spacing w:after="0" w:line="240" w:lineRule="auto"/>
        <w:ind w:right="17"/>
        <w:jc w:val="both"/>
        <w:rPr>
          <w:b/>
          <w:szCs w:val="24"/>
          <w:u w:val="single"/>
        </w:rPr>
      </w:pPr>
      <w:r>
        <w:rPr>
          <w:szCs w:val="24"/>
        </w:rPr>
        <w:tab/>
      </w:r>
      <w:r w:rsidR="00910C63" w:rsidRPr="00910C63">
        <w:rPr>
          <w:b/>
          <w:szCs w:val="24"/>
          <w:u w:val="single"/>
        </w:rPr>
        <w:t xml:space="preserve">Заходи щодо забезпечення доступу до приміщення та доступності послуг </w:t>
      </w:r>
      <w:r w:rsidR="00910C63" w:rsidRPr="009159EA">
        <w:rPr>
          <w:b/>
          <w:szCs w:val="24"/>
          <w:u w:val="single"/>
        </w:rPr>
        <w:t>інвалідам та маломобільним категоріям населення</w:t>
      </w:r>
    </w:p>
    <w:p w:rsidR="0089505B" w:rsidRDefault="0089505B" w:rsidP="00910C63">
      <w:pPr>
        <w:shd w:val="clear" w:color="auto" w:fill="FFFFFF"/>
        <w:spacing w:after="0" w:line="240" w:lineRule="auto"/>
        <w:ind w:right="17"/>
        <w:jc w:val="both"/>
        <w:rPr>
          <w:szCs w:val="24"/>
        </w:rPr>
      </w:pPr>
      <w:r>
        <w:rPr>
          <w:szCs w:val="24"/>
        </w:rPr>
        <w:tab/>
        <w:t>З метою виконання вищевказаних норм Ліцензійних умов щодо забезпечення доступу до приміщення та доступності послуг інвалідам та маломобільним категоріям населення рекомендуємо депозитарним установами та торговцям цінними паперами задекларувати та забезпечити вжиття наступних заходів:</w:t>
      </w:r>
    </w:p>
    <w:p w:rsidR="0089505B" w:rsidRDefault="003459D1" w:rsidP="005F665C">
      <w:pPr>
        <w:pStyle w:val="ac"/>
        <w:numPr>
          <w:ilvl w:val="0"/>
          <w:numId w:val="2"/>
        </w:numPr>
        <w:shd w:val="clear" w:color="auto" w:fill="FFFFFF"/>
        <w:spacing w:after="0" w:line="240" w:lineRule="auto"/>
        <w:ind w:left="0" w:right="17" w:firstLine="705"/>
        <w:jc w:val="both"/>
        <w:rPr>
          <w:szCs w:val="24"/>
        </w:rPr>
      </w:pPr>
      <w:r>
        <w:rPr>
          <w:szCs w:val="24"/>
        </w:rPr>
        <w:t xml:space="preserve">Передбачити можливість надання співробітником </w:t>
      </w:r>
      <w:r w:rsidR="00ED3E2F">
        <w:rPr>
          <w:szCs w:val="24"/>
        </w:rPr>
        <w:t xml:space="preserve">(співробітниками) </w:t>
      </w:r>
      <w:r>
        <w:rPr>
          <w:szCs w:val="24"/>
        </w:rPr>
        <w:t xml:space="preserve">ліцензіата допомоги провідника </w:t>
      </w:r>
      <w:r w:rsidR="005F665C">
        <w:rPr>
          <w:szCs w:val="24"/>
        </w:rPr>
        <w:t>до безпосереднього приміщення ліцензіата на прохання інваліда або іншої людини, що відноситься до маломобільної групи населення та звертається за наданням послуг.</w:t>
      </w:r>
    </w:p>
    <w:p w:rsidR="005F665C" w:rsidRPr="0089505B" w:rsidRDefault="00F76272" w:rsidP="005F665C">
      <w:pPr>
        <w:pStyle w:val="ac"/>
        <w:numPr>
          <w:ilvl w:val="0"/>
          <w:numId w:val="2"/>
        </w:numPr>
        <w:shd w:val="clear" w:color="auto" w:fill="FFFFFF"/>
        <w:spacing w:after="0" w:line="240" w:lineRule="auto"/>
        <w:ind w:left="0" w:right="17" w:firstLine="705"/>
        <w:jc w:val="both"/>
        <w:rPr>
          <w:szCs w:val="24"/>
        </w:rPr>
      </w:pPr>
      <w:r>
        <w:rPr>
          <w:szCs w:val="24"/>
        </w:rPr>
        <w:t>Забезпечити читання уголос співробітником</w:t>
      </w:r>
      <w:r w:rsidR="00ED3E2F">
        <w:rPr>
          <w:szCs w:val="24"/>
        </w:rPr>
        <w:t xml:space="preserve"> (співробітниками)</w:t>
      </w:r>
      <w:r>
        <w:rPr>
          <w:szCs w:val="24"/>
        </w:rPr>
        <w:t xml:space="preserve"> ліцензіата документів, що стосуються надання ліцензіатом фінансових послуг, для осіб з вадами зору або інших осіб, які звернулись за наданням послуг, але не мають змоги з певних причин самостійно прочитати документ. Рекомендуємо робити на документах, що були прочитані уголос співробітником ліцензіата та підписані особою з вадами зору відповідну відмітку про це на документі.</w:t>
      </w:r>
    </w:p>
    <w:p w:rsidR="003A0100" w:rsidRPr="00EE2740" w:rsidRDefault="00E85647" w:rsidP="00910C63">
      <w:pPr>
        <w:pStyle w:val="ac"/>
        <w:numPr>
          <w:ilvl w:val="0"/>
          <w:numId w:val="2"/>
        </w:numPr>
        <w:shd w:val="clear" w:color="auto" w:fill="FFFFFF"/>
        <w:spacing w:after="0" w:line="240" w:lineRule="auto"/>
        <w:ind w:left="0" w:right="17" w:firstLine="705"/>
        <w:jc w:val="both"/>
        <w:rPr>
          <w:szCs w:val="24"/>
        </w:rPr>
      </w:pPr>
      <w:r>
        <w:rPr>
          <w:szCs w:val="24"/>
        </w:rPr>
        <w:t>Передбачити можливість проведення ід</w:t>
      </w:r>
      <w:r w:rsidR="00EE2740">
        <w:rPr>
          <w:szCs w:val="24"/>
        </w:rPr>
        <w:t>ентифікації та</w:t>
      </w:r>
      <w:r w:rsidR="00662664">
        <w:rPr>
          <w:szCs w:val="24"/>
        </w:rPr>
        <w:t xml:space="preserve"> верифікації особи</w:t>
      </w:r>
      <w:r>
        <w:rPr>
          <w:szCs w:val="24"/>
        </w:rPr>
        <w:t xml:space="preserve">, прийому документів </w:t>
      </w:r>
      <w:r w:rsidR="00662664">
        <w:rPr>
          <w:szCs w:val="24"/>
        </w:rPr>
        <w:t>від особи, що</w:t>
      </w:r>
      <w:r w:rsidR="00662664" w:rsidRPr="00EE2740">
        <w:rPr>
          <w:szCs w:val="24"/>
        </w:rPr>
        <w:t xml:space="preserve"> звертається за наданням фінансових послуг</w:t>
      </w:r>
      <w:r w:rsidR="00EE2740">
        <w:rPr>
          <w:szCs w:val="24"/>
        </w:rPr>
        <w:t>, або є клієнтом ліцензіата за місцем проживання такої особи або іншим місцем, вказаним такою особою.</w:t>
      </w:r>
    </w:p>
    <w:p w:rsidR="003A0100" w:rsidRDefault="003A0100" w:rsidP="00910C63">
      <w:pPr>
        <w:shd w:val="clear" w:color="auto" w:fill="FFFFFF"/>
        <w:spacing w:after="0" w:line="240" w:lineRule="auto"/>
        <w:ind w:right="17"/>
        <w:jc w:val="both"/>
        <w:rPr>
          <w:szCs w:val="24"/>
        </w:rPr>
      </w:pPr>
    </w:p>
    <w:p w:rsidR="0089505B" w:rsidRDefault="0089505B" w:rsidP="00910C63">
      <w:pPr>
        <w:shd w:val="clear" w:color="auto" w:fill="FFFFFF"/>
        <w:spacing w:after="0" w:line="240" w:lineRule="auto"/>
        <w:ind w:right="17"/>
        <w:jc w:val="both"/>
        <w:rPr>
          <w:szCs w:val="24"/>
        </w:rPr>
      </w:pPr>
      <w:r>
        <w:rPr>
          <w:szCs w:val="24"/>
        </w:rPr>
        <w:tab/>
        <w:t xml:space="preserve">Окрім того, </w:t>
      </w:r>
      <w:r w:rsidRPr="003459D1">
        <w:rPr>
          <w:szCs w:val="24"/>
          <w:u w:val="single"/>
        </w:rPr>
        <w:t>за можливості</w:t>
      </w:r>
      <w:r>
        <w:rPr>
          <w:szCs w:val="24"/>
        </w:rPr>
        <w:t>, ліцензіат може вжити таких додаткових заходів для забезпечення доступу до приміщення та доступності послуг інвалідам та маломобільним категоріям населення:</w:t>
      </w:r>
    </w:p>
    <w:p w:rsidR="0089505B" w:rsidRDefault="0089505B" w:rsidP="0089505B">
      <w:pPr>
        <w:pStyle w:val="ac"/>
        <w:numPr>
          <w:ilvl w:val="0"/>
          <w:numId w:val="1"/>
        </w:numPr>
        <w:shd w:val="clear" w:color="auto" w:fill="FFFFFF"/>
        <w:spacing w:after="0" w:line="240" w:lineRule="auto"/>
        <w:ind w:left="0" w:right="17" w:firstLine="477"/>
        <w:jc w:val="both"/>
        <w:rPr>
          <w:rFonts w:ascii="Times New Roman" w:hAnsi="Times New Roman"/>
          <w:szCs w:val="24"/>
        </w:rPr>
      </w:pPr>
      <w:r>
        <w:rPr>
          <w:rFonts w:ascii="Times New Roman" w:hAnsi="Times New Roman"/>
          <w:szCs w:val="24"/>
        </w:rPr>
        <w:t xml:space="preserve">дублювання інформації на об’єктах фізичного оточення </w:t>
      </w:r>
      <w:r w:rsidRPr="00AD12DC">
        <w:rPr>
          <w:rFonts w:ascii="Times New Roman" w:hAnsi="Times New Roman"/>
          <w:szCs w:val="24"/>
        </w:rPr>
        <w:t>літерно-цифровим або рельєфно-крап</w:t>
      </w:r>
      <w:r>
        <w:rPr>
          <w:rFonts w:ascii="Times New Roman" w:hAnsi="Times New Roman"/>
          <w:szCs w:val="24"/>
        </w:rPr>
        <w:t>ковим шрифтом (шрифтом Брайля);</w:t>
      </w:r>
    </w:p>
    <w:p w:rsidR="0089505B" w:rsidRDefault="0089505B" w:rsidP="0089505B">
      <w:pPr>
        <w:pStyle w:val="ac"/>
        <w:numPr>
          <w:ilvl w:val="0"/>
          <w:numId w:val="1"/>
        </w:numPr>
        <w:shd w:val="clear" w:color="auto" w:fill="FFFFFF"/>
        <w:spacing w:after="0" w:line="240" w:lineRule="auto"/>
        <w:ind w:left="0" w:right="17" w:firstLine="477"/>
        <w:jc w:val="both"/>
        <w:rPr>
          <w:rFonts w:ascii="Times New Roman" w:hAnsi="Times New Roman"/>
          <w:szCs w:val="24"/>
        </w:rPr>
      </w:pPr>
      <w:r>
        <w:rPr>
          <w:rFonts w:ascii="Times New Roman" w:hAnsi="Times New Roman"/>
          <w:szCs w:val="24"/>
        </w:rPr>
        <w:t>н</w:t>
      </w:r>
      <w:r w:rsidRPr="00AD12DC">
        <w:rPr>
          <w:rFonts w:ascii="Times New Roman" w:hAnsi="Times New Roman"/>
          <w:szCs w:val="24"/>
        </w:rPr>
        <w:t>умерація</w:t>
      </w:r>
      <w:r w:rsidR="002B00DE">
        <w:rPr>
          <w:rFonts w:ascii="Times New Roman" w:hAnsi="Times New Roman"/>
          <w:szCs w:val="24"/>
        </w:rPr>
        <w:t xml:space="preserve"> </w:t>
      </w:r>
      <w:r w:rsidRPr="00AD12DC">
        <w:rPr>
          <w:rFonts w:ascii="Times New Roman" w:hAnsi="Times New Roman"/>
          <w:szCs w:val="24"/>
        </w:rPr>
        <w:t>поверхів, кабінетів</w:t>
      </w:r>
      <w:r w:rsidR="002B00DE">
        <w:rPr>
          <w:rFonts w:ascii="Times New Roman" w:hAnsi="Times New Roman"/>
          <w:szCs w:val="24"/>
        </w:rPr>
        <w:t>, вивісок з найменуванням ліцензіата</w:t>
      </w:r>
      <w:r w:rsidRPr="00AD12DC">
        <w:rPr>
          <w:rFonts w:ascii="Times New Roman" w:hAnsi="Times New Roman"/>
          <w:szCs w:val="24"/>
        </w:rPr>
        <w:t xml:space="preserve"> на об'єкта</w:t>
      </w:r>
      <w:r>
        <w:rPr>
          <w:rFonts w:ascii="Times New Roman" w:hAnsi="Times New Roman"/>
          <w:szCs w:val="24"/>
        </w:rPr>
        <w:t xml:space="preserve">х фізичного оточення наносити </w:t>
      </w:r>
      <w:r w:rsidRPr="00AD12DC">
        <w:rPr>
          <w:rFonts w:ascii="Times New Roman" w:hAnsi="Times New Roman"/>
          <w:szCs w:val="24"/>
        </w:rPr>
        <w:t>рельєфним літерно-цифровим шриф</w:t>
      </w:r>
      <w:r>
        <w:rPr>
          <w:rFonts w:ascii="Times New Roman" w:hAnsi="Times New Roman"/>
          <w:szCs w:val="24"/>
        </w:rPr>
        <w:t>том;</w:t>
      </w:r>
    </w:p>
    <w:p w:rsidR="0089505B" w:rsidRDefault="0089505B" w:rsidP="0089505B">
      <w:pPr>
        <w:pStyle w:val="ac"/>
        <w:numPr>
          <w:ilvl w:val="0"/>
          <w:numId w:val="1"/>
        </w:numPr>
        <w:shd w:val="clear" w:color="auto" w:fill="FFFFFF"/>
        <w:spacing w:after="0" w:line="240" w:lineRule="auto"/>
        <w:ind w:left="0" w:right="17" w:firstLine="477"/>
        <w:jc w:val="both"/>
        <w:rPr>
          <w:rFonts w:ascii="Times New Roman" w:hAnsi="Times New Roman"/>
          <w:szCs w:val="24"/>
        </w:rPr>
      </w:pPr>
      <w:r>
        <w:rPr>
          <w:rFonts w:ascii="Times New Roman" w:hAnsi="Times New Roman"/>
          <w:szCs w:val="24"/>
        </w:rPr>
        <w:t xml:space="preserve">побудова сходів і пандусів у відповідності до вимог </w:t>
      </w:r>
      <w:r w:rsidRPr="00737974">
        <w:rPr>
          <w:rFonts w:ascii="Times New Roman" w:hAnsi="Times New Roman"/>
          <w:szCs w:val="24"/>
        </w:rPr>
        <w:t>ДБН В.2.2-17:2006</w:t>
      </w:r>
      <w:r w:rsidR="00FE7D44">
        <w:rPr>
          <w:rFonts w:ascii="Times New Roman" w:hAnsi="Times New Roman"/>
          <w:szCs w:val="24"/>
        </w:rPr>
        <w:t xml:space="preserve"> </w:t>
      </w:r>
      <w:r w:rsidR="00FE7D44">
        <w:rPr>
          <w:color w:val="000000"/>
          <w:spacing w:val="-3"/>
          <w:szCs w:val="24"/>
        </w:rPr>
        <w:t>«Доступність будинків і споруд для маломобільних груп населення»</w:t>
      </w:r>
      <w:r>
        <w:rPr>
          <w:rFonts w:ascii="Times New Roman" w:hAnsi="Times New Roman"/>
          <w:szCs w:val="24"/>
        </w:rPr>
        <w:t>;</w:t>
      </w:r>
    </w:p>
    <w:p w:rsidR="0089505B" w:rsidRDefault="0089505B" w:rsidP="0089505B">
      <w:pPr>
        <w:pStyle w:val="ac"/>
        <w:numPr>
          <w:ilvl w:val="0"/>
          <w:numId w:val="1"/>
        </w:numPr>
        <w:shd w:val="clear" w:color="auto" w:fill="FFFFFF"/>
        <w:spacing w:after="0" w:line="240" w:lineRule="auto"/>
        <w:ind w:left="0" w:right="17" w:firstLine="477"/>
        <w:jc w:val="both"/>
        <w:rPr>
          <w:rFonts w:ascii="Times New Roman" w:hAnsi="Times New Roman"/>
          <w:szCs w:val="24"/>
        </w:rPr>
      </w:pPr>
      <w:r>
        <w:rPr>
          <w:rFonts w:ascii="Times New Roman" w:hAnsi="Times New Roman"/>
          <w:szCs w:val="24"/>
        </w:rPr>
        <w:t xml:space="preserve">обладнання приміщення ліцензіата ліфтами та підйомниками у відповідності до вимог </w:t>
      </w:r>
      <w:r w:rsidRPr="00737974">
        <w:rPr>
          <w:rFonts w:ascii="Times New Roman" w:hAnsi="Times New Roman"/>
          <w:szCs w:val="24"/>
        </w:rPr>
        <w:t>ДБН В.2.2-17:2006</w:t>
      </w:r>
      <w:r w:rsidR="00FE7D44">
        <w:rPr>
          <w:rFonts w:ascii="Times New Roman" w:hAnsi="Times New Roman"/>
          <w:szCs w:val="24"/>
        </w:rPr>
        <w:t xml:space="preserve"> </w:t>
      </w:r>
      <w:r w:rsidR="00FE7D44">
        <w:rPr>
          <w:color w:val="000000"/>
          <w:spacing w:val="-3"/>
          <w:szCs w:val="24"/>
        </w:rPr>
        <w:t>«Доступність будинків і споруд для маломобільних груп населення»</w:t>
      </w:r>
      <w:r>
        <w:rPr>
          <w:rFonts w:ascii="Times New Roman" w:hAnsi="Times New Roman"/>
          <w:szCs w:val="24"/>
        </w:rPr>
        <w:t>;</w:t>
      </w:r>
    </w:p>
    <w:p w:rsidR="0089505B" w:rsidRDefault="0089505B" w:rsidP="0089505B">
      <w:pPr>
        <w:pStyle w:val="ac"/>
        <w:numPr>
          <w:ilvl w:val="0"/>
          <w:numId w:val="1"/>
        </w:numPr>
        <w:shd w:val="clear" w:color="auto" w:fill="FFFFFF"/>
        <w:spacing w:after="0" w:line="240" w:lineRule="auto"/>
        <w:ind w:left="0" w:right="17" w:firstLine="477"/>
        <w:jc w:val="both"/>
        <w:rPr>
          <w:rFonts w:ascii="Times New Roman" w:hAnsi="Times New Roman"/>
          <w:szCs w:val="24"/>
        </w:rPr>
      </w:pPr>
      <w:r>
        <w:rPr>
          <w:rFonts w:ascii="Times New Roman" w:hAnsi="Times New Roman"/>
          <w:szCs w:val="24"/>
        </w:rPr>
        <w:t>встановлення у вестибюлі будинку, де знаходиться офіс ліцензіата, звукових інформаторів за типом телефонів – автоматів, якими можуть користуватися відвідувачі з вадами зору, і текстофонів для</w:t>
      </w:r>
      <w:r w:rsidR="00FE7D44">
        <w:rPr>
          <w:rFonts w:ascii="Times New Roman" w:hAnsi="Times New Roman"/>
          <w:szCs w:val="24"/>
        </w:rPr>
        <w:t xml:space="preserve"> відвідувачів з дефектами слуху;</w:t>
      </w:r>
    </w:p>
    <w:p w:rsidR="00FE7D44" w:rsidRPr="00AD12DC" w:rsidRDefault="00FE7D44" w:rsidP="0089505B">
      <w:pPr>
        <w:pStyle w:val="ac"/>
        <w:numPr>
          <w:ilvl w:val="0"/>
          <w:numId w:val="1"/>
        </w:numPr>
        <w:shd w:val="clear" w:color="auto" w:fill="FFFFFF"/>
        <w:spacing w:after="0" w:line="240" w:lineRule="auto"/>
        <w:ind w:left="0" w:right="17" w:firstLine="477"/>
        <w:jc w:val="both"/>
        <w:rPr>
          <w:rFonts w:ascii="Times New Roman" w:hAnsi="Times New Roman"/>
          <w:szCs w:val="24"/>
        </w:rPr>
      </w:pPr>
      <w:r>
        <w:rPr>
          <w:rFonts w:ascii="Times New Roman" w:hAnsi="Times New Roman"/>
          <w:szCs w:val="24"/>
        </w:rPr>
        <w:t>інші заходи, визначені державними будівельними нормами України «Доступність</w:t>
      </w:r>
      <w:r w:rsidRPr="0061513B">
        <w:rPr>
          <w:color w:val="000000"/>
          <w:spacing w:val="-3"/>
          <w:szCs w:val="24"/>
        </w:rPr>
        <w:t xml:space="preserve"> </w:t>
      </w:r>
      <w:r>
        <w:rPr>
          <w:color w:val="000000"/>
          <w:spacing w:val="-3"/>
          <w:szCs w:val="24"/>
        </w:rPr>
        <w:t xml:space="preserve">будинків і споруд для маломобільних груп населення» </w:t>
      </w:r>
      <w:hyperlink r:id="rId6" w:history="1">
        <w:r w:rsidRPr="00DC0674">
          <w:rPr>
            <w:rStyle w:val="af5"/>
            <w:spacing w:val="-3"/>
            <w:szCs w:val="24"/>
          </w:rPr>
          <w:t>(ДБН В.2.2-17:2006)</w:t>
        </w:r>
      </w:hyperlink>
      <w:r>
        <w:rPr>
          <w:color w:val="000000"/>
          <w:spacing w:val="-3"/>
          <w:szCs w:val="24"/>
        </w:rPr>
        <w:t xml:space="preserve">, </w:t>
      </w:r>
      <w:hyperlink r:id="rId7" w:history="1">
        <w:r w:rsidRPr="00FE7D44">
          <w:rPr>
            <w:rStyle w:val="af5"/>
            <w:spacing w:val="-3"/>
            <w:szCs w:val="24"/>
          </w:rPr>
          <w:t>Законом України «Про основи соціальної захищеності інвалідів в Україні»</w:t>
        </w:r>
      </w:hyperlink>
      <w:r>
        <w:rPr>
          <w:color w:val="000000"/>
          <w:spacing w:val="-3"/>
          <w:szCs w:val="24"/>
        </w:rPr>
        <w:t xml:space="preserve">, </w:t>
      </w:r>
      <w:hyperlink r:id="rId8" w:history="1">
        <w:r w:rsidRPr="00FE7D44">
          <w:rPr>
            <w:rStyle w:val="af5"/>
            <w:spacing w:val="-3"/>
            <w:szCs w:val="24"/>
          </w:rPr>
          <w:t>Конвенцією про права інвалідів</w:t>
        </w:r>
      </w:hyperlink>
      <w:r>
        <w:rPr>
          <w:color w:val="000000"/>
          <w:spacing w:val="-3"/>
          <w:szCs w:val="24"/>
        </w:rPr>
        <w:t xml:space="preserve"> (стаття 9), яка набрала чинності для України 06.03.2010 року.</w:t>
      </w:r>
    </w:p>
    <w:p w:rsidR="0089505B" w:rsidRDefault="0089505B" w:rsidP="00910C63">
      <w:pPr>
        <w:shd w:val="clear" w:color="auto" w:fill="FFFFFF"/>
        <w:spacing w:after="0" w:line="240" w:lineRule="auto"/>
        <w:ind w:right="17"/>
        <w:jc w:val="both"/>
        <w:rPr>
          <w:szCs w:val="24"/>
        </w:rPr>
      </w:pPr>
    </w:p>
    <w:p w:rsidR="0089505B" w:rsidRPr="00095EA8" w:rsidRDefault="00095EA8" w:rsidP="00095EA8">
      <w:pPr>
        <w:shd w:val="clear" w:color="auto" w:fill="FFFFFF"/>
        <w:spacing w:after="0" w:line="240" w:lineRule="auto"/>
        <w:ind w:right="17" w:firstLine="708"/>
        <w:jc w:val="both"/>
        <w:rPr>
          <w:b/>
          <w:szCs w:val="24"/>
          <w:u w:val="single"/>
        </w:rPr>
      </w:pPr>
      <w:r w:rsidRPr="00095EA8">
        <w:rPr>
          <w:b/>
          <w:szCs w:val="24"/>
          <w:u w:val="single"/>
        </w:rPr>
        <w:t>Щодо порядку декларування ліцензіатом заходів про забезпечення доступу до приміщення та доступності послуг інвалідам та маломобільним категоріям населення</w:t>
      </w:r>
    </w:p>
    <w:p w:rsidR="00095EA8" w:rsidRPr="00095EA8" w:rsidRDefault="00095EA8" w:rsidP="00095EA8">
      <w:pPr>
        <w:shd w:val="clear" w:color="auto" w:fill="FFFFFF"/>
        <w:spacing w:after="0" w:line="240" w:lineRule="auto"/>
        <w:ind w:right="17" w:firstLine="708"/>
        <w:jc w:val="both"/>
        <w:rPr>
          <w:b/>
          <w:szCs w:val="24"/>
          <w:u w:val="single"/>
        </w:rPr>
      </w:pPr>
      <w:r>
        <w:rPr>
          <w:szCs w:val="24"/>
        </w:rPr>
        <w:t xml:space="preserve">Рекомендуємо депозитарним установам та торговцям цінними паперами задекларувати перелік заходів щодо забезпечення </w:t>
      </w:r>
      <w:r w:rsidRPr="00095EA8">
        <w:rPr>
          <w:szCs w:val="24"/>
        </w:rPr>
        <w:t>доступу до приміщення та доступності послуг інвалідам та маломобільним категоріям населення</w:t>
      </w:r>
      <w:r w:rsidR="00B52FE2">
        <w:rPr>
          <w:szCs w:val="24"/>
        </w:rPr>
        <w:t xml:space="preserve"> в окремому внутрішньому документі ліцензіата, затвердженому керівником</w:t>
      </w:r>
      <w:r w:rsidR="00B027DD">
        <w:rPr>
          <w:szCs w:val="24"/>
        </w:rPr>
        <w:t xml:space="preserve"> (виконуючим обов</w:t>
      </w:r>
      <w:r w:rsidR="00B027DD" w:rsidRPr="00B027DD">
        <w:rPr>
          <w:szCs w:val="24"/>
          <w:lang w:val="ru-RU"/>
        </w:rPr>
        <w:t>’</w:t>
      </w:r>
      <w:r w:rsidR="00B027DD">
        <w:rPr>
          <w:szCs w:val="24"/>
        </w:rPr>
        <w:t xml:space="preserve">язки керівника) </w:t>
      </w:r>
      <w:r w:rsidR="00B52FE2">
        <w:rPr>
          <w:szCs w:val="24"/>
        </w:rPr>
        <w:t xml:space="preserve"> або іншим уповноваженим </w:t>
      </w:r>
      <w:r w:rsidR="00B027DD">
        <w:rPr>
          <w:szCs w:val="24"/>
        </w:rPr>
        <w:t xml:space="preserve">згідно установчих документів </w:t>
      </w:r>
      <w:r w:rsidR="00B52FE2">
        <w:rPr>
          <w:szCs w:val="24"/>
        </w:rPr>
        <w:t>органом ліцензіата.</w:t>
      </w:r>
      <w:r w:rsidR="00ED3E2F">
        <w:rPr>
          <w:szCs w:val="24"/>
        </w:rPr>
        <w:t xml:space="preserve"> </w:t>
      </w:r>
    </w:p>
    <w:p w:rsidR="00263AD0" w:rsidRPr="001B69FF" w:rsidRDefault="00B52FE2" w:rsidP="00EC555A">
      <w:pPr>
        <w:spacing w:after="0" w:line="240" w:lineRule="auto"/>
        <w:jc w:val="both"/>
        <w:rPr>
          <w:szCs w:val="24"/>
        </w:rPr>
      </w:pPr>
      <w:r>
        <w:rPr>
          <w:szCs w:val="24"/>
        </w:rPr>
        <w:tab/>
      </w:r>
      <w:r w:rsidR="007E0F52">
        <w:rPr>
          <w:szCs w:val="24"/>
        </w:rPr>
        <w:t xml:space="preserve">Також, з метою можливості ознайомлення </w:t>
      </w:r>
      <w:r w:rsidR="001B69FF">
        <w:rPr>
          <w:szCs w:val="24"/>
        </w:rPr>
        <w:t>потенційних клієнтів/клієнтів ліцензіата із заходами, які забезпечує ліцензіат для доступу до свого приміщення та послуг інвалідів та маломобільних категорій населення, рекомендуємо розмістити відповідний внутрішній документ на веб-сайті/веб-сторінці ліцензіата.</w:t>
      </w:r>
    </w:p>
    <w:p w:rsidR="000B4C58" w:rsidRPr="00D33184" w:rsidRDefault="000B4C58" w:rsidP="000B4C58">
      <w:pPr>
        <w:jc w:val="center"/>
        <w:rPr>
          <w:szCs w:val="24"/>
        </w:rPr>
      </w:pPr>
    </w:p>
    <w:sectPr w:rsidR="000B4C58" w:rsidRPr="00D33184" w:rsidSect="008474CB">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1F3850"/>
    <w:multiLevelType w:val="hybridMultilevel"/>
    <w:tmpl w:val="9FAE455A"/>
    <w:lvl w:ilvl="0" w:tplc="8F843B34">
      <w:numFmt w:val="bullet"/>
      <w:lvlText w:val="-"/>
      <w:lvlJc w:val="left"/>
      <w:pPr>
        <w:ind w:left="837" w:hanging="360"/>
      </w:pPr>
      <w:rPr>
        <w:rFonts w:ascii="Times New Roman" w:eastAsiaTheme="minorHAnsi" w:hAnsi="Times New Roman" w:cs="Times New Roman" w:hint="default"/>
      </w:rPr>
    </w:lvl>
    <w:lvl w:ilvl="1" w:tplc="04220003" w:tentative="1">
      <w:start w:val="1"/>
      <w:numFmt w:val="bullet"/>
      <w:lvlText w:val="o"/>
      <w:lvlJc w:val="left"/>
      <w:pPr>
        <w:ind w:left="1557" w:hanging="360"/>
      </w:pPr>
      <w:rPr>
        <w:rFonts w:ascii="Courier New" w:hAnsi="Courier New" w:cs="Courier New" w:hint="default"/>
      </w:rPr>
    </w:lvl>
    <w:lvl w:ilvl="2" w:tplc="04220005" w:tentative="1">
      <w:start w:val="1"/>
      <w:numFmt w:val="bullet"/>
      <w:lvlText w:val=""/>
      <w:lvlJc w:val="left"/>
      <w:pPr>
        <w:ind w:left="2277" w:hanging="360"/>
      </w:pPr>
      <w:rPr>
        <w:rFonts w:ascii="Wingdings" w:hAnsi="Wingdings" w:hint="default"/>
      </w:rPr>
    </w:lvl>
    <w:lvl w:ilvl="3" w:tplc="04220001" w:tentative="1">
      <w:start w:val="1"/>
      <w:numFmt w:val="bullet"/>
      <w:lvlText w:val=""/>
      <w:lvlJc w:val="left"/>
      <w:pPr>
        <w:ind w:left="2997" w:hanging="360"/>
      </w:pPr>
      <w:rPr>
        <w:rFonts w:ascii="Symbol" w:hAnsi="Symbol" w:hint="default"/>
      </w:rPr>
    </w:lvl>
    <w:lvl w:ilvl="4" w:tplc="04220003" w:tentative="1">
      <w:start w:val="1"/>
      <w:numFmt w:val="bullet"/>
      <w:lvlText w:val="o"/>
      <w:lvlJc w:val="left"/>
      <w:pPr>
        <w:ind w:left="3717" w:hanging="360"/>
      </w:pPr>
      <w:rPr>
        <w:rFonts w:ascii="Courier New" w:hAnsi="Courier New" w:cs="Courier New" w:hint="default"/>
      </w:rPr>
    </w:lvl>
    <w:lvl w:ilvl="5" w:tplc="04220005" w:tentative="1">
      <w:start w:val="1"/>
      <w:numFmt w:val="bullet"/>
      <w:lvlText w:val=""/>
      <w:lvlJc w:val="left"/>
      <w:pPr>
        <w:ind w:left="4437" w:hanging="360"/>
      </w:pPr>
      <w:rPr>
        <w:rFonts w:ascii="Wingdings" w:hAnsi="Wingdings" w:hint="default"/>
      </w:rPr>
    </w:lvl>
    <w:lvl w:ilvl="6" w:tplc="04220001" w:tentative="1">
      <w:start w:val="1"/>
      <w:numFmt w:val="bullet"/>
      <w:lvlText w:val=""/>
      <w:lvlJc w:val="left"/>
      <w:pPr>
        <w:ind w:left="5157" w:hanging="360"/>
      </w:pPr>
      <w:rPr>
        <w:rFonts w:ascii="Symbol" w:hAnsi="Symbol" w:hint="default"/>
      </w:rPr>
    </w:lvl>
    <w:lvl w:ilvl="7" w:tplc="04220003" w:tentative="1">
      <w:start w:val="1"/>
      <w:numFmt w:val="bullet"/>
      <w:lvlText w:val="o"/>
      <w:lvlJc w:val="left"/>
      <w:pPr>
        <w:ind w:left="5877" w:hanging="360"/>
      </w:pPr>
      <w:rPr>
        <w:rFonts w:ascii="Courier New" w:hAnsi="Courier New" w:cs="Courier New" w:hint="default"/>
      </w:rPr>
    </w:lvl>
    <w:lvl w:ilvl="8" w:tplc="04220005" w:tentative="1">
      <w:start w:val="1"/>
      <w:numFmt w:val="bullet"/>
      <w:lvlText w:val=""/>
      <w:lvlJc w:val="left"/>
      <w:pPr>
        <w:ind w:left="6597" w:hanging="360"/>
      </w:pPr>
      <w:rPr>
        <w:rFonts w:ascii="Wingdings" w:hAnsi="Wingdings" w:hint="default"/>
      </w:rPr>
    </w:lvl>
  </w:abstractNum>
  <w:abstractNum w:abstractNumId="1">
    <w:nsid w:val="696477FC"/>
    <w:multiLevelType w:val="hybridMultilevel"/>
    <w:tmpl w:val="80FA5838"/>
    <w:lvl w:ilvl="0" w:tplc="AB123FEA">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1F2FC1"/>
    <w:rsid w:val="00007BAD"/>
    <w:rsid w:val="00033F40"/>
    <w:rsid w:val="0004602E"/>
    <w:rsid w:val="000749FE"/>
    <w:rsid w:val="00095EA8"/>
    <w:rsid w:val="000B4C58"/>
    <w:rsid w:val="0014335B"/>
    <w:rsid w:val="001B69FF"/>
    <w:rsid w:val="001C691B"/>
    <w:rsid w:val="001D2B69"/>
    <w:rsid w:val="001F2FC1"/>
    <w:rsid w:val="002008E5"/>
    <w:rsid w:val="00254385"/>
    <w:rsid w:val="00263AD0"/>
    <w:rsid w:val="00297026"/>
    <w:rsid w:val="002B00DE"/>
    <w:rsid w:val="002C5AA4"/>
    <w:rsid w:val="003459D1"/>
    <w:rsid w:val="00361F36"/>
    <w:rsid w:val="003A0100"/>
    <w:rsid w:val="003A0CE9"/>
    <w:rsid w:val="003C0D9C"/>
    <w:rsid w:val="00440F7B"/>
    <w:rsid w:val="004605A8"/>
    <w:rsid w:val="004A02EB"/>
    <w:rsid w:val="004B2EEC"/>
    <w:rsid w:val="005126FA"/>
    <w:rsid w:val="00517F6B"/>
    <w:rsid w:val="00525637"/>
    <w:rsid w:val="005402A2"/>
    <w:rsid w:val="005A7EBF"/>
    <w:rsid w:val="005F665C"/>
    <w:rsid w:val="005F7D00"/>
    <w:rsid w:val="0061513B"/>
    <w:rsid w:val="00623722"/>
    <w:rsid w:val="00662664"/>
    <w:rsid w:val="00675E4F"/>
    <w:rsid w:val="0067622F"/>
    <w:rsid w:val="006D0B9B"/>
    <w:rsid w:val="00734B37"/>
    <w:rsid w:val="00737974"/>
    <w:rsid w:val="00753D72"/>
    <w:rsid w:val="007E0E20"/>
    <w:rsid w:val="007E0F52"/>
    <w:rsid w:val="007E6DE2"/>
    <w:rsid w:val="007F0260"/>
    <w:rsid w:val="00803C11"/>
    <w:rsid w:val="008363B7"/>
    <w:rsid w:val="008474CB"/>
    <w:rsid w:val="00871DFA"/>
    <w:rsid w:val="0089505B"/>
    <w:rsid w:val="00910C63"/>
    <w:rsid w:val="009159EA"/>
    <w:rsid w:val="009B49E3"/>
    <w:rsid w:val="00A531B8"/>
    <w:rsid w:val="00AD0B3A"/>
    <w:rsid w:val="00AD12DC"/>
    <w:rsid w:val="00B027DD"/>
    <w:rsid w:val="00B14618"/>
    <w:rsid w:val="00B333D6"/>
    <w:rsid w:val="00B470AC"/>
    <w:rsid w:val="00B52FE2"/>
    <w:rsid w:val="00B65E9A"/>
    <w:rsid w:val="00B723ED"/>
    <w:rsid w:val="00B858E1"/>
    <w:rsid w:val="00BD1497"/>
    <w:rsid w:val="00BE0A92"/>
    <w:rsid w:val="00D3316C"/>
    <w:rsid w:val="00D33184"/>
    <w:rsid w:val="00D84D37"/>
    <w:rsid w:val="00DC0674"/>
    <w:rsid w:val="00E12626"/>
    <w:rsid w:val="00E61CCC"/>
    <w:rsid w:val="00E75629"/>
    <w:rsid w:val="00E83AA3"/>
    <w:rsid w:val="00E85647"/>
    <w:rsid w:val="00EC555A"/>
    <w:rsid w:val="00ED3E2F"/>
    <w:rsid w:val="00EE2740"/>
    <w:rsid w:val="00F76272"/>
    <w:rsid w:val="00FB33EB"/>
    <w:rsid w:val="00FE7D4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7D00"/>
    <w:rPr>
      <w:sz w:val="24"/>
    </w:rPr>
  </w:style>
  <w:style w:type="paragraph" w:styleId="1">
    <w:name w:val="heading 1"/>
    <w:basedOn w:val="a"/>
    <w:next w:val="a"/>
    <w:link w:val="10"/>
    <w:uiPriority w:val="9"/>
    <w:qFormat/>
    <w:rsid w:val="00E756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E7562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E7562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75629"/>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E75629"/>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E7562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E7562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E7562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E7562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562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E7562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E7562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E75629"/>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E75629"/>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E75629"/>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E75629"/>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E75629"/>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E7562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E75629"/>
    <w:pPr>
      <w:spacing w:line="240" w:lineRule="auto"/>
    </w:pPr>
    <w:rPr>
      <w:b/>
      <w:bCs/>
      <w:color w:val="4F81BD" w:themeColor="accent1"/>
      <w:sz w:val="18"/>
      <w:szCs w:val="18"/>
    </w:rPr>
  </w:style>
  <w:style w:type="paragraph" w:styleId="a4">
    <w:name w:val="Title"/>
    <w:basedOn w:val="a"/>
    <w:next w:val="a"/>
    <w:link w:val="a5"/>
    <w:uiPriority w:val="10"/>
    <w:qFormat/>
    <w:rsid w:val="00E7562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E75629"/>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E75629"/>
    <w:pPr>
      <w:numPr>
        <w:ilvl w:val="1"/>
      </w:numPr>
    </w:pPr>
    <w:rPr>
      <w:rFonts w:asciiTheme="majorHAnsi" w:eastAsiaTheme="majorEastAsia" w:hAnsiTheme="majorHAnsi" w:cstheme="majorBidi"/>
      <w:i/>
      <w:iCs/>
      <w:color w:val="4F81BD" w:themeColor="accent1"/>
      <w:spacing w:val="15"/>
      <w:szCs w:val="24"/>
    </w:rPr>
  </w:style>
  <w:style w:type="character" w:customStyle="1" w:styleId="a7">
    <w:name w:val="Подзаголовок Знак"/>
    <w:basedOn w:val="a0"/>
    <w:link w:val="a6"/>
    <w:uiPriority w:val="11"/>
    <w:rsid w:val="00E75629"/>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E75629"/>
    <w:rPr>
      <w:b/>
      <w:bCs/>
    </w:rPr>
  </w:style>
  <w:style w:type="character" w:styleId="a9">
    <w:name w:val="Emphasis"/>
    <w:basedOn w:val="a0"/>
    <w:uiPriority w:val="20"/>
    <w:qFormat/>
    <w:rsid w:val="00E75629"/>
    <w:rPr>
      <w:i/>
      <w:iCs/>
    </w:rPr>
  </w:style>
  <w:style w:type="paragraph" w:styleId="aa">
    <w:name w:val="No Spacing"/>
    <w:link w:val="ab"/>
    <w:uiPriority w:val="1"/>
    <w:qFormat/>
    <w:rsid w:val="00E75629"/>
    <w:pPr>
      <w:spacing w:after="0" w:line="240" w:lineRule="auto"/>
    </w:pPr>
  </w:style>
  <w:style w:type="character" w:customStyle="1" w:styleId="ab">
    <w:name w:val="Без интервала Знак"/>
    <w:basedOn w:val="a0"/>
    <w:link w:val="aa"/>
    <w:uiPriority w:val="1"/>
    <w:rsid w:val="00E75629"/>
  </w:style>
  <w:style w:type="paragraph" w:styleId="ac">
    <w:name w:val="List Paragraph"/>
    <w:basedOn w:val="a"/>
    <w:uiPriority w:val="34"/>
    <w:qFormat/>
    <w:rsid w:val="00E75629"/>
    <w:pPr>
      <w:ind w:left="720"/>
      <w:contextualSpacing/>
    </w:pPr>
  </w:style>
  <w:style w:type="paragraph" w:styleId="21">
    <w:name w:val="Quote"/>
    <w:basedOn w:val="a"/>
    <w:next w:val="a"/>
    <w:link w:val="22"/>
    <w:uiPriority w:val="29"/>
    <w:qFormat/>
    <w:rsid w:val="00E75629"/>
    <w:rPr>
      <w:i/>
      <w:iCs/>
      <w:color w:val="000000" w:themeColor="text1"/>
    </w:rPr>
  </w:style>
  <w:style w:type="character" w:customStyle="1" w:styleId="22">
    <w:name w:val="Цитата 2 Знак"/>
    <w:basedOn w:val="a0"/>
    <w:link w:val="21"/>
    <w:uiPriority w:val="29"/>
    <w:rsid w:val="00E75629"/>
    <w:rPr>
      <w:i/>
      <w:iCs/>
      <w:color w:val="000000" w:themeColor="text1"/>
    </w:rPr>
  </w:style>
  <w:style w:type="paragraph" w:styleId="ad">
    <w:name w:val="Intense Quote"/>
    <w:basedOn w:val="a"/>
    <w:next w:val="a"/>
    <w:link w:val="ae"/>
    <w:uiPriority w:val="30"/>
    <w:qFormat/>
    <w:rsid w:val="00E75629"/>
    <w:pPr>
      <w:pBdr>
        <w:bottom w:val="single" w:sz="4" w:space="4" w:color="4F81BD" w:themeColor="accent1"/>
      </w:pBdr>
      <w:spacing w:before="200" w:after="280"/>
      <w:ind w:left="936" w:right="936"/>
    </w:pPr>
    <w:rPr>
      <w:b/>
      <w:bCs/>
      <w:i/>
      <w:iCs/>
      <w:color w:val="4F81BD" w:themeColor="accent1"/>
    </w:rPr>
  </w:style>
  <w:style w:type="character" w:customStyle="1" w:styleId="ae">
    <w:name w:val="Выделенная цитата Знак"/>
    <w:basedOn w:val="a0"/>
    <w:link w:val="ad"/>
    <w:uiPriority w:val="30"/>
    <w:rsid w:val="00E75629"/>
    <w:rPr>
      <w:b/>
      <w:bCs/>
      <w:i/>
      <w:iCs/>
      <w:color w:val="4F81BD" w:themeColor="accent1"/>
    </w:rPr>
  </w:style>
  <w:style w:type="character" w:styleId="af">
    <w:name w:val="Subtle Emphasis"/>
    <w:basedOn w:val="a0"/>
    <w:uiPriority w:val="19"/>
    <w:qFormat/>
    <w:rsid w:val="00E75629"/>
    <w:rPr>
      <w:i/>
      <w:iCs/>
      <w:color w:val="808080" w:themeColor="text1" w:themeTint="7F"/>
    </w:rPr>
  </w:style>
  <w:style w:type="character" w:styleId="af0">
    <w:name w:val="Intense Emphasis"/>
    <w:basedOn w:val="a0"/>
    <w:uiPriority w:val="21"/>
    <w:qFormat/>
    <w:rsid w:val="00E75629"/>
    <w:rPr>
      <w:b/>
      <w:bCs/>
      <w:i/>
      <w:iCs/>
      <w:color w:val="4F81BD" w:themeColor="accent1"/>
    </w:rPr>
  </w:style>
  <w:style w:type="character" w:styleId="af1">
    <w:name w:val="Subtle Reference"/>
    <w:basedOn w:val="a0"/>
    <w:uiPriority w:val="31"/>
    <w:qFormat/>
    <w:rsid w:val="00E75629"/>
    <w:rPr>
      <w:smallCaps/>
      <w:color w:val="C0504D" w:themeColor="accent2"/>
      <w:u w:val="single"/>
    </w:rPr>
  </w:style>
  <w:style w:type="character" w:styleId="af2">
    <w:name w:val="Intense Reference"/>
    <w:basedOn w:val="a0"/>
    <w:uiPriority w:val="32"/>
    <w:qFormat/>
    <w:rsid w:val="00E75629"/>
    <w:rPr>
      <w:b/>
      <w:bCs/>
      <w:smallCaps/>
      <w:color w:val="C0504D" w:themeColor="accent2"/>
      <w:spacing w:val="5"/>
      <w:u w:val="single"/>
    </w:rPr>
  </w:style>
  <w:style w:type="character" w:styleId="af3">
    <w:name w:val="Book Title"/>
    <w:basedOn w:val="a0"/>
    <w:uiPriority w:val="33"/>
    <w:qFormat/>
    <w:rsid w:val="00E75629"/>
    <w:rPr>
      <w:b/>
      <w:bCs/>
      <w:smallCaps/>
      <w:spacing w:val="5"/>
    </w:rPr>
  </w:style>
  <w:style w:type="paragraph" w:styleId="af4">
    <w:name w:val="TOC Heading"/>
    <w:basedOn w:val="1"/>
    <w:next w:val="a"/>
    <w:uiPriority w:val="39"/>
    <w:semiHidden/>
    <w:unhideWhenUsed/>
    <w:qFormat/>
    <w:rsid w:val="00E75629"/>
    <w:pPr>
      <w:outlineLvl w:val="9"/>
    </w:pPr>
  </w:style>
  <w:style w:type="character" w:styleId="af5">
    <w:name w:val="Hyperlink"/>
    <w:basedOn w:val="a0"/>
    <w:uiPriority w:val="99"/>
    <w:unhideWhenUsed/>
    <w:rsid w:val="00DC0674"/>
    <w:rPr>
      <w:color w:val="0000FF" w:themeColor="hyperlink"/>
      <w:u w:val="single"/>
    </w:rPr>
  </w:style>
  <w:style w:type="paragraph" w:styleId="af6">
    <w:name w:val="Balloon Text"/>
    <w:basedOn w:val="a"/>
    <w:link w:val="af7"/>
    <w:uiPriority w:val="99"/>
    <w:semiHidden/>
    <w:unhideWhenUsed/>
    <w:rsid w:val="00FB33EB"/>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FB33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80190">
      <w:bodyDiv w:val="1"/>
      <w:marLeft w:val="0"/>
      <w:marRight w:val="0"/>
      <w:marTop w:val="0"/>
      <w:marBottom w:val="0"/>
      <w:divBdr>
        <w:top w:val="none" w:sz="0" w:space="0" w:color="auto"/>
        <w:left w:val="none" w:sz="0" w:space="0" w:color="auto"/>
        <w:bottom w:val="none" w:sz="0" w:space="0" w:color="auto"/>
        <w:right w:val="none" w:sz="0" w:space="0" w:color="auto"/>
      </w:divBdr>
    </w:div>
    <w:div w:id="500394640">
      <w:bodyDiv w:val="1"/>
      <w:marLeft w:val="0"/>
      <w:marRight w:val="0"/>
      <w:marTop w:val="0"/>
      <w:marBottom w:val="0"/>
      <w:divBdr>
        <w:top w:val="none" w:sz="0" w:space="0" w:color="auto"/>
        <w:left w:val="none" w:sz="0" w:space="0" w:color="auto"/>
        <w:bottom w:val="none" w:sz="0" w:space="0" w:color="auto"/>
        <w:right w:val="none" w:sz="0" w:space="0" w:color="auto"/>
      </w:divBdr>
    </w:div>
    <w:div w:id="1102453727">
      <w:bodyDiv w:val="1"/>
      <w:marLeft w:val="0"/>
      <w:marRight w:val="0"/>
      <w:marTop w:val="0"/>
      <w:marBottom w:val="0"/>
      <w:divBdr>
        <w:top w:val="none" w:sz="0" w:space="0" w:color="auto"/>
        <w:left w:val="none" w:sz="0" w:space="0" w:color="auto"/>
        <w:bottom w:val="none" w:sz="0" w:space="0" w:color="auto"/>
        <w:right w:val="none" w:sz="0" w:space="0" w:color="auto"/>
      </w:divBdr>
    </w:div>
    <w:div w:id="1548182470">
      <w:bodyDiv w:val="1"/>
      <w:marLeft w:val="0"/>
      <w:marRight w:val="0"/>
      <w:marTop w:val="0"/>
      <w:marBottom w:val="0"/>
      <w:divBdr>
        <w:top w:val="none" w:sz="0" w:space="0" w:color="auto"/>
        <w:left w:val="none" w:sz="0" w:space="0" w:color="auto"/>
        <w:bottom w:val="none" w:sz="0" w:space="0" w:color="auto"/>
        <w:right w:val="none" w:sz="0" w:space="0" w:color="auto"/>
      </w:divBdr>
    </w:div>
    <w:div w:id="1633630470">
      <w:bodyDiv w:val="1"/>
      <w:marLeft w:val="0"/>
      <w:marRight w:val="0"/>
      <w:marTop w:val="0"/>
      <w:marBottom w:val="0"/>
      <w:divBdr>
        <w:top w:val="none" w:sz="0" w:space="0" w:color="auto"/>
        <w:left w:val="none" w:sz="0" w:space="0" w:color="auto"/>
        <w:bottom w:val="none" w:sz="0" w:space="0" w:color="auto"/>
        <w:right w:val="none" w:sz="0" w:space="0" w:color="auto"/>
      </w:divBdr>
    </w:div>
    <w:div w:id="1644459718">
      <w:bodyDiv w:val="1"/>
      <w:marLeft w:val="0"/>
      <w:marRight w:val="0"/>
      <w:marTop w:val="0"/>
      <w:marBottom w:val="0"/>
      <w:divBdr>
        <w:top w:val="none" w:sz="0" w:space="0" w:color="auto"/>
        <w:left w:val="none" w:sz="0" w:space="0" w:color="auto"/>
        <w:bottom w:val="none" w:sz="0" w:space="0" w:color="auto"/>
        <w:right w:val="none" w:sz="0" w:space="0" w:color="auto"/>
      </w:divBdr>
    </w:div>
    <w:div w:id="187317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995_g71" TargetMode="External"/><Relationship Id="rId3" Type="http://schemas.openxmlformats.org/officeDocument/2006/relationships/settings" Target="settings.xml"/><Relationship Id="rId7" Type="http://schemas.openxmlformats.org/officeDocument/2006/relationships/hyperlink" Target="http://zakon0.rada.gov.ua/laws/show/875-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bn.at.ua/load/normativy/dbn/1-1-0-287"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2">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3477</Words>
  <Characters>1982</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Гончарук Наталья</dc:creator>
  <cp:lastModifiedBy>Довбыш Дмитрий</cp:lastModifiedBy>
  <cp:revision>2</cp:revision>
  <cp:lastPrinted>2016-06-02T08:25:00Z</cp:lastPrinted>
  <dcterms:created xsi:type="dcterms:W3CDTF">2016-06-02T12:05:00Z</dcterms:created>
  <dcterms:modified xsi:type="dcterms:W3CDTF">2016-06-02T12:05:00Z</dcterms:modified>
</cp:coreProperties>
</file>