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C6" w:rsidRDefault="00226CC6">
      <w:pPr>
        <w:pStyle w:val="a3"/>
        <w:jc w:val="center"/>
      </w:pPr>
    </w:p>
    <w:p w:rsidR="00226CC6" w:rsidRDefault="0092615A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ДЕРЖАВНА ПОДАТКОВА СЛУЖБА УКРАЇНИ</w:t>
      </w:r>
    </w:p>
    <w:p w:rsidR="00226CC6" w:rsidRDefault="0092615A">
      <w:pPr>
        <w:pStyle w:val="2"/>
        <w:jc w:val="center"/>
        <w:rPr>
          <w:rFonts w:eastAsia="Times New Roman"/>
        </w:rPr>
      </w:pPr>
      <w:r>
        <w:rPr>
          <w:rFonts w:eastAsia="Times New Roman"/>
        </w:rPr>
        <w:t>ЛИСТ</w:t>
      </w:r>
    </w:p>
    <w:p w:rsidR="00226CC6" w:rsidRDefault="0092615A">
      <w:pPr>
        <w:pStyle w:val="a3"/>
        <w:jc w:val="center"/>
      </w:pPr>
      <w:r>
        <w:rPr>
          <w:b/>
          <w:bCs/>
        </w:rPr>
        <w:t>від 25.02.2013 р. N 2801/6/15-5215</w:t>
      </w:r>
    </w:p>
    <w:p w:rsidR="00226CC6" w:rsidRDefault="0092615A">
      <w:pPr>
        <w:pStyle w:val="a3"/>
        <w:jc w:val="both"/>
      </w:pPr>
      <w:r>
        <w:t>Державна податкова служба розглянула лист ТОВ щодо оподаткування операцій з відчуження цінних паперів і повідомляє.</w:t>
      </w:r>
    </w:p>
    <w:p w:rsidR="00226CC6" w:rsidRDefault="0092615A">
      <w:pPr>
        <w:pStyle w:val="a3"/>
        <w:jc w:val="both"/>
      </w:pPr>
      <w:r>
        <w:t xml:space="preserve">Згідно з </w:t>
      </w:r>
      <w:r>
        <w:rPr>
          <w:color w:val="0000FF"/>
        </w:rPr>
        <w:t>підпунктом 213.1.7 пункту 213.1 статті 213 Податкового кодексу України</w:t>
      </w:r>
      <w:r>
        <w:t xml:space="preserve"> (далі - Кодекс) операції з продажу, обміну або інших способів відчуження цінних паперів, де відбувається перехід права власності на цінні папери, та операції з деривативами, крім операцій, що здійснюються на міжбанківському ринку деривативів, є об'єктами оподаткування акцизним податком.</w:t>
      </w:r>
    </w:p>
    <w:p w:rsidR="00226CC6" w:rsidRDefault="0092615A">
      <w:pPr>
        <w:pStyle w:val="a3"/>
        <w:jc w:val="both"/>
      </w:pPr>
      <w:r>
        <w:t xml:space="preserve">Платниками особливого податку на операції з відчуження цінних паперів та операцій з деривативами є фізична або юридична особа - резидент або нерезидент (в тому числі їх відокремлені підрозділи), які проводять операції з деривативами або з продажу, обміну або інших способів відчуження цінних паперів, крім випадків, передбачених </w:t>
      </w:r>
      <w:r>
        <w:rPr>
          <w:color w:val="0000FF"/>
        </w:rPr>
        <w:t>пунктом 213.2 статті 213 цього Кодексу</w:t>
      </w:r>
      <w:r>
        <w:t xml:space="preserve"> (</w:t>
      </w:r>
      <w:r>
        <w:rPr>
          <w:color w:val="0000FF"/>
        </w:rPr>
        <w:t>пп. 212.1.9 п. 212.1 статті 212 Кодексу</w:t>
      </w:r>
      <w:r>
        <w:t>).</w:t>
      </w:r>
    </w:p>
    <w:p w:rsidR="00226CC6" w:rsidRDefault="0092615A">
      <w:pPr>
        <w:pStyle w:val="a3"/>
        <w:jc w:val="both"/>
      </w:pPr>
      <w:r>
        <w:t xml:space="preserve">При цьому </w:t>
      </w:r>
      <w:r>
        <w:rPr>
          <w:color w:val="0000FF"/>
        </w:rPr>
        <w:t>пп. 213.3.3 п. 213.3 статті 213 Кодексу</w:t>
      </w:r>
      <w:r>
        <w:t xml:space="preserve"> встановлено, що особи, визначені в </w:t>
      </w:r>
      <w:r>
        <w:rPr>
          <w:color w:val="0000FF"/>
        </w:rPr>
        <w:t>підпункті 212.1.9 пункту 212.1 цієї статті</w:t>
      </w:r>
      <w:r>
        <w:t>, не підлягають реєстрації як платники податку.</w:t>
      </w:r>
    </w:p>
    <w:p w:rsidR="00226CC6" w:rsidRDefault="0092615A">
      <w:pPr>
        <w:pStyle w:val="a3"/>
        <w:jc w:val="both"/>
      </w:pPr>
      <w:r>
        <w:rPr>
          <w:color w:val="0000FF"/>
        </w:rPr>
        <w:t>Пунктом 214.8 статті 214 Кодексу</w:t>
      </w:r>
      <w:r>
        <w:t xml:space="preserve"> встановлено, що базою оподаткування особливого податку на операції з відчуження цінних паперів та операцій з деривативами є договірна вартість цінних паперів або деривативів, визначена у первинних бухгалтерських документах за будь-якою операцією з продажу, обміну або інших способів їх відчуження.</w:t>
      </w:r>
    </w:p>
    <w:p w:rsidR="00226CC6" w:rsidRDefault="0092615A">
      <w:pPr>
        <w:pStyle w:val="a3"/>
        <w:jc w:val="both"/>
      </w:pPr>
      <w:r>
        <w:t>В термінологічному словнику відчуження визначається як продаж, дарування, міна.</w:t>
      </w:r>
    </w:p>
    <w:p w:rsidR="00226CC6" w:rsidRDefault="0092615A">
      <w:pPr>
        <w:pStyle w:val="a3"/>
        <w:jc w:val="both"/>
      </w:pPr>
      <w:r>
        <w:t xml:space="preserve">Згідно з </w:t>
      </w:r>
      <w:r>
        <w:rPr>
          <w:color w:val="0000FF"/>
        </w:rPr>
        <w:t>пунктом 216.7 статті 216 Кодексу</w:t>
      </w:r>
      <w:r>
        <w:t xml:space="preserve"> датою виникнення податкових зобов'язань за операціями, визначеними в </w:t>
      </w:r>
      <w:r>
        <w:rPr>
          <w:color w:val="0000FF"/>
        </w:rPr>
        <w:t>підпункті 213.1.7 пункту 213.1 статті 213 цього Кодексу</w:t>
      </w:r>
      <w:r>
        <w:t xml:space="preserve">, є дата отримання доходу відповідно до </w:t>
      </w:r>
      <w:r>
        <w:rPr>
          <w:color w:val="0000FF"/>
        </w:rPr>
        <w:t>пункту 219.2 статті 219 цього Кодексу</w:t>
      </w:r>
      <w:r>
        <w:t xml:space="preserve"> від операцій з продажу, обміну або інших способів відчуження цінних паперів та деривативів.</w:t>
      </w:r>
    </w:p>
    <w:p w:rsidR="00226CC6" w:rsidRDefault="0092615A">
      <w:pPr>
        <w:pStyle w:val="a3"/>
        <w:jc w:val="both"/>
      </w:pPr>
      <w:r>
        <w:t xml:space="preserve">Таким чином, </w:t>
      </w:r>
      <w:r>
        <w:rPr>
          <w:b/>
          <w:bCs/>
          <w:i/>
          <w:iCs/>
        </w:rPr>
        <w:t>операції за договорами міни, дарування є об'єктом оподаткування акцизним податком та передбачають отримання доходу особою, яка набуває права власності на цінні папери. Базою оподаткування таких операцій є договірна вартість цінних паперів, визначена у первинних і бухгалтерських документах за будь-якою операцією з продажу, обміну або інших способів їх відчуження</w:t>
      </w:r>
      <w:r>
        <w:t>.</w:t>
      </w:r>
    </w:p>
    <w:p w:rsidR="00226CC6" w:rsidRDefault="0092615A">
      <w:pPr>
        <w:pStyle w:val="a3"/>
        <w:jc w:val="both"/>
      </w:pPr>
      <w:r>
        <w:t xml:space="preserve">Такі операції оподатковуються за ставкою 1,5 відсотка від суми операції з продажу цінних паперів поза фондовою біржею, що не перебувають у біржовому реєстрі відповідно до </w:t>
      </w:r>
      <w:r>
        <w:rPr>
          <w:color w:val="0000FF"/>
        </w:rPr>
        <w:t>пп. 215</w:t>
      </w:r>
      <w:r>
        <w:rPr>
          <w:color w:val="0000FF"/>
          <w:vertAlign w:val="superscript"/>
        </w:rPr>
        <w:t>1</w:t>
      </w:r>
      <w:r>
        <w:rPr>
          <w:color w:val="0000FF"/>
        </w:rPr>
        <w:t>.1.4 п. 215</w:t>
      </w:r>
      <w:r>
        <w:rPr>
          <w:color w:val="0000FF"/>
          <w:vertAlign w:val="superscript"/>
        </w:rPr>
        <w:t>1</w:t>
      </w:r>
      <w:r>
        <w:rPr>
          <w:color w:val="0000FF"/>
        </w:rPr>
        <w:t>.1 статті 215</w:t>
      </w:r>
      <w:r>
        <w:rPr>
          <w:color w:val="0000FF"/>
          <w:vertAlign w:val="superscript"/>
        </w:rPr>
        <w:t>1</w:t>
      </w:r>
      <w:r>
        <w:rPr>
          <w:color w:val="0000FF"/>
        </w:rPr>
        <w:t xml:space="preserve"> Кодексу</w:t>
      </w:r>
      <w:r>
        <w:t>.</w:t>
      </w:r>
    </w:p>
    <w:p w:rsidR="00226CC6" w:rsidRDefault="0092615A">
      <w:pPr>
        <w:pStyle w:val="a3"/>
        <w:jc w:val="both"/>
      </w:pPr>
      <w:r>
        <w:t xml:space="preserve">Суми податку перераховуються до бюджету податковим агентом протягом 10 календарних днів, що настають за останнім днем відповідного граничного строку, передбаченого цим </w:t>
      </w:r>
      <w:r>
        <w:rPr>
          <w:color w:val="0000FF"/>
        </w:rPr>
        <w:t>Кодексом</w:t>
      </w:r>
      <w:r>
        <w:t xml:space="preserve"> для подання податкової декларації за податковий період, що дорівнює кварталу.</w:t>
      </w:r>
    </w:p>
    <w:p w:rsidR="00226CC6" w:rsidRDefault="0092615A">
      <w:pPr>
        <w:pStyle w:val="a3"/>
        <w:jc w:val="both"/>
      </w:pPr>
      <w:r>
        <w:t xml:space="preserve">Податковим агентом за біржовими та позабіржовими операціями, визначеними в </w:t>
      </w:r>
      <w:r>
        <w:rPr>
          <w:color w:val="0000FF"/>
        </w:rPr>
        <w:t>підпункті 213.1.7 пункту 213.7 статті 213 цього Кодексу</w:t>
      </w:r>
      <w:r>
        <w:t xml:space="preserve">, є відповідний торгівець цінними паперами </w:t>
      </w:r>
      <w:r>
        <w:lastRenderedPageBreak/>
        <w:t xml:space="preserve">(ліцензіат), включаючи банк, який здійснює такі операції на підставі договору та зобов'язаний нараховувати, утримувати та сплачувати акцизний податок до бюджету від імені та за рахунок особи з доходів, що виплачуються такій особі, вести податковий облік, подавати податкову звітність податковим органам та нести відповідальність за порушення його норм у порядку, передбаченому цим </w:t>
      </w:r>
      <w:r>
        <w:rPr>
          <w:color w:val="0000FF"/>
        </w:rPr>
        <w:t>Кодексом</w:t>
      </w:r>
      <w:r>
        <w:t xml:space="preserve"> (</w:t>
      </w:r>
      <w:r>
        <w:rPr>
          <w:color w:val="0000FF"/>
        </w:rPr>
        <w:t>пункт 219.2 Кодексу</w:t>
      </w:r>
      <w:r>
        <w:t>).</w:t>
      </w:r>
    </w:p>
    <w:p w:rsidR="00226CC6" w:rsidRDefault="0092615A">
      <w:pPr>
        <w:pStyle w:val="a3"/>
        <w:jc w:val="both"/>
      </w:pPr>
      <w:r>
        <w:t xml:space="preserve">Під терміном "доходи" </w:t>
      </w:r>
      <w:r>
        <w:rPr>
          <w:color w:val="0000FF"/>
        </w:rPr>
        <w:t>підпунктом 14.1.56 пункту 14.1 статті 14 Кодексу</w:t>
      </w:r>
      <w:r>
        <w:t xml:space="preserve"> визначається загальна сума доходу платника податку від усіх видів діяльності, отриманого (нарахованого) протягом звітного періоду в грошовій, матеріальній або нематеріальній формах як на території України, її континентальному шельфі у виключній (морській) економічній зоні, так і за їх межами.</w:t>
      </w:r>
    </w:p>
    <w:p w:rsidR="00226CC6" w:rsidRDefault="0092615A">
      <w:pPr>
        <w:pStyle w:val="a3"/>
        <w:jc w:val="both"/>
      </w:pPr>
      <w:r>
        <w:t xml:space="preserve">Отже, </w:t>
      </w:r>
      <w:r>
        <w:rPr>
          <w:b/>
          <w:bCs/>
          <w:i/>
          <w:iCs/>
        </w:rPr>
        <w:t>торгівець цінними паперами (ліцензіат) зобов'язаний нарахувати, утримати та сплатити акцизний податок до бюджету від імені та за рахунок особи з доходів, що отримуються (нараховуються) продавцем цінних паперів або особою, яка відчужує цінні папери</w:t>
      </w:r>
      <w:r>
        <w:t>.</w:t>
      </w:r>
    </w:p>
    <w:p w:rsidR="00226CC6" w:rsidRDefault="0092615A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3"/>
        <w:gridCol w:w="4894"/>
      </w:tblGrid>
      <w:tr w:rsidR="00226CC6">
        <w:trPr>
          <w:tblCellSpacing w:w="22" w:type="dxa"/>
        </w:trPr>
        <w:tc>
          <w:tcPr>
            <w:tcW w:w="2500" w:type="pct"/>
            <w:hideMark/>
          </w:tcPr>
          <w:p w:rsidR="00226CC6" w:rsidRDefault="0092615A">
            <w:pPr>
              <w:pStyle w:val="a3"/>
              <w:jc w:val="center"/>
            </w:pPr>
            <w:r>
              <w:rPr>
                <w:b/>
                <w:bCs/>
              </w:rPr>
              <w:t>Заступник Голови</w:t>
            </w:r>
          </w:p>
        </w:tc>
        <w:tc>
          <w:tcPr>
            <w:tcW w:w="2500" w:type="pct"/>
            <w:vAlign w:val="bottom"/>
            <w:hideMark/>
          </w:tcPr>
          <w:p w:rsidR="00226CC6" w:rsidRDefault="0092615A">
            <w:pPr>
              <w:pStyle w:val="a3"/>
              <w:jc w:val="center"/>
            </w:pPr>
            <w:r>
              <w:rPr>
                <w:b/>
                <w:bCs/>
              </w:rPr>
              <w:t>А. Ігнатов</w:t>
            </w:r>
          </w:p>
        </w:tc>
      </w:tr>
    </w:tbl>
    <w:p w:rsidR="00226CC6" w:rsidRDefault="0092615A">
      <w:pPr>
        <w:pStyle w:val="a3"/>
        <w:jc w:val="both"/>
      </w:pPr>
      <w:r>
        <w:br w:type="textWrapping" w:clear="all"/>
      </w:r>
    </w:p>
    <w:p w:rsidR="00226CC6" w:rsidRDefault="0092615A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20"/>
        <w:gridCol w:w="1009"/>
      </w:tblGrid>
      <w:tr w:rsidR="00226CC6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226CC6" w:rsidRDefault="0092615A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© Інформаційно-аналітичний центр «ЛІГА», 1991 - 2013</w:t>
            </w:r>
            <w:r>
              <w:rPr>
                <w:rFonts w:eastAsia="Times New Roman"/>
              </w:rPr>
              <w:br/>
              <w:t xml:space="preserve">© ТОВ «ЛІГА:ЗАКОН», 2007 </w:t>
            </w:r>
            <w:r w:rsidR="0012304A">
              <w:rPr>
                <w:rFonts w:eastAsia="Times New Roman"/>
              </w:rPr>
              <w:t>–</w:t>
            </w:r>
            <w:r>
              <w:rPr>
                <w:rFonts w:eastAsia="Times New Roman"/>
              </w:rPr>
              <w:t xml:space="preserve"> 2013</w:t>
            </w:r>
          </w:p>
        </w:tc>
        <w:tc>
          <w:tcPr>
            <w:tcW w:w="500" w:type="pct"/>
            <w:vAlign w:val="center"/>
            <w:hideMark/>
          </w:tcPr>
          <w:p w:rsidR="00226CC6" w:rsidRDefault="00226CC6">
            <w:pPr>
              <w:rPr>
                <w:rFonts w:eastAsia="Times New Roman"/>
              </w:rPr>
            </w:pPr>
            <w:bookmarkStart w:id="0" w:name="_GoBack"/>
            <w:bookmarkEnd w:id="0"/>
          </w:p>
        </w:tc>
      </w:tr>
    </w:tbl>
    <w:p w:rsidR="0092615A" w:rsidRDefault="0092615A">
      <w:pPr>
        <w:rPr>
          <w:rFonts w:eastAsia="Times New Roman"/>
        </w:rPr>
      </w:pPr>
    </w:p>
    <w:sectPr w:rsidR="009261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62620"/>
    <w:rsid w:val="0012304A"/>
    <w:rsid w:val="00162620"/>
    <w:rsid w:val="00226CC6"/>
    <w:rsid w:val="00280127"/>
    <w:rsid w:val="0092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626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620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1626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2620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2591</Words>
  <Characters>1478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Кий Алексей</dc:creator>
  <cp:lastModifiedBy>s.moskvin</cp:lastModifiedBy>
  <cp:revision>3</cp:revision>
  <dcterms:created xsi:type="dcterms:W3CDTF">2013-05-07T13:28:00Z</dcterms:created>
  <dcterms:modified xsi:type="dcterms:W3CDTF">2013-05-07T13:55:00Z</dcterms:modified>
</cp:coreProperties>
</file>