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0F" w:rsidRDefault="00811D0F" w:rsidP="00811D0F">
      <w:pPr>
        <w:ind w:firstLine="709"/>
        <w:rPr>
          <w:b/>
        </w:rPr>
      </w:pPr>
      <w:r>
        <w:rPr>
          <w:noProof/>
          <w:color w:val="00408F"/>
          <w:lang w:val="ru-RU" w:eastAsia="ru-RU"/>
        </w:rPr>
        <w:drawing>
          <wp:inline distT="0" distB="0" distL="0" distR="0">
            <wp:extent cx="1951990" cy="807085"/>
            <wp:effectExtent l="0" t="0" r="0" b="0"/>
            <wp:docPr id="2" name="Рисунок 2" descr="logo_pard_w_20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_pard_w_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990" cy="807085"/>
                    </a:xfrm>
                    <a:prstGeom prst="rect">
                      <a:avLst/>
                    </a:prstGeom>
                    <a:noFill/>
                    <a:ln>
                      <a:noFill/>
                    </a:ln>
                  </pic:spPr>
                </pic:pic>
              </a:graphicData>
            </a:graphic>
          </wp:inline>
        </w:drawing>
      </w:r>
      <w:r>
        <w:tab/>
      </w:r>
      <w:r>
        <w:tab/>
      </w:r>
      <w:r>
        <w:tab/>
      </w:r>
      <w:r>
        <w:rPr>
          <w:noProof/>
          <w:lang w:val="ru-RU" w:eastAsia="ru-RU"/>
        </w:rPr>
        <w:drawing>
          <wp:inline distT="0" distB="0" distL="0" distR="0">
            <wp:extent cx="1944370" cy="714375"/>
            <wp:effectExtent l="0" t="0" r="0" b="0"/>
            <wp:docPr id="1" name="Рисунок 1" descr="logo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714375"/>
                    </a:xfrm>
                    <a:prstGeom prst="rect">
                      <a:avLst/>
                    </a:prstGeom>
                    <a:noFill/>
                    <a:ln>
                      <a:noFill/>
                    </a:ln>
                  </pic:spPr>
                </pic:pic>
              </a:graphicData>
            </a:graphic>
          </wp:inline>
        </w:drawing>
      </w:r>
    </w:p>
    <w:p w:rsidR="00811D0F" w:rsidRDefault="00811D0F" w:rsidP="004F1DB5">
      <w:pPr>
        <w:spacing w:after="0" w:line="240" w:lineRule="auto"/>
        <w:jc w:val="right"/>
        <w:rPr>
          <w:rFonts w:ascii="Times New Roman" w:hAnsi="Times New Roman" w:cs="Times New Roman"/>
          <w:sz w:val="20"/>
          <w:szCs w:val="20"/>
          <w:lang w:val="en-US"/>
        </w:rPr>
      </w:pPr>
    </w:p>
    <w:p w:rsidR="004F1DB5" w:rsidRPr="00811D0F" w:rsidRDefault="00811D0F" w:rsidP="004F1DB5">
      <w:pPr>
        <w:spacing w:after="0" w:line="240" w:lineRule="auto"/>
        <w:jc w:val="right"/>
        <w:rPr>
          <w:rFonts w:ascii="Times New Roman" w:hAnsi="Times New Roman" w:cs="Times New Roman"/>
          <w:b/>
          <w:sz w:val="24"/>
          <w:szCs w:val="24"/>
        </w:rPr>
      </w:pPr>
      <w:r w:rsidRPr="00811D0F">
        <w:rPr>
          <w:rFonts w:ascii="Times New Roman" w:hAnsi="Times New Roman" w:cs="Times New Roman"/>
          <w:b/>
          <w:sz w:val="24"/>
          <w:szCs w:val="24"/>
        </w:rPr>
        <w:t>ПРОЕКТ</w:t>
      </w:r>
    </w:p>
    <w:p w:rsidR="004F1DB5" w:rsidRDefault="004F1DB5" w:rsidP="004F1DB5">
      <w:pPr>
        <w:spacing w:after="0" w:line="240" w:lineRule="auto"/>
        <w:jc w:val="right"/>
        <w:rPr>
          <w:rFonts w:ascii="Times New Roman" w:hAnsi="Times New Roman" w:cs="Times New Roman"/>
          <w:b/>
          <w:sz w:val="24"/>
          <w:szCs w:val="24"/>
        </w:rPr>
      </w:pPr>
    </w:p>
    <w:p w:rsidR="006144AA" w:rsidRPr="00811D0F" w:rsidRDefault="006144AA" w:rsidP="00811D0F">
      <w:pPr>
        <w:spacing w:after="0" w:line="240" w:lineRule="auto"/>
        <w:jc w:val="center"/>
        <w:rPr>
          <w:rFonts w:ascii="Times New Roman" w:hAnsi="Times New Roman" w:cs="Times New Roman"/>
          <w:b/>
          <w:sz w:val="24"/>
          <w:szCs w:val="24"/>
          <w:vertAlign w:val="superscript"/>
        </w:rPr>
      </w:pPr>
      <w:r w:rsidRPr="00811D0F">
        <w:rPr>
          <w:rFonts w:ascii="Times New Roman" w:hAnsi="Times New Roman" w:cs="Times New Roman"/>
          <w:b/>
          <w:sz w:val="24"/>
          <w:szCs w:val="24"/>
        </w:rPr>
        <w:t>Рекомендації щодо порядку реєстрації депозитарними установами права власності на цінні папери, якщо одержувачем цінних паперів є особа, що знаходиться чи зареєстрована на тимчасово окупованій території України</w:t>
      </w:r>
    </w:p>
    <w:p w:rsidR="006144AA" w:rsidRPr="00811D0F" w:rsidRDefault="006144AA" w:rsidP="00811D0F">
      <w:pPr>
        <w:spacing w:after="0" w:line="240" w:lineRule="auto"/>
        <w:ind w:firstLine="709"/>
        <w:rPr>
          <w:rFonts w:ascii="Times New Roman" w:hAnsi="Times New Roman" w:cs="Times New Roman"/>
          <w:sz w:val="24"/>
          <w:szCs w:val="24"/>
        </w:rPr>
      </w:pPr>
    </w:p>
    <w:p w:rsidR="006144AA" w:rsidRPr="00811D0F" w:rsidRDefault="006144AA" w:rsidP="00811D0F">
      <w:pPr>
        <w:pStyle w:val="short"/>
        <w:spacing w:before="0" w:beforeAutospacing="0" w:after="0" w:afterAutospacing="0"/>
        <w:ind w:firstLine="709"/>
        <w:jc w:val="both"/>
      </w:pPr>
      <w:r w:rsidRPr="00811D0F">
        <w:rPr>
          <w:bCs/>
        </w:rPr>
        <w:t>27 вересня 2014 року набрав чинності</w:t>
      </w:r>
      <w:r w:rsidRPr="00811D0F">
        <w:rPr>
          <w:b/>
          <w:bCs/>
        </w:rPr>
        <w:t xml:space="preserve"> </w:t>
      </w:r>
      <w:hyperlink r:id="rId9" w:history="1">
        <w:r w:rsidRPr="00811D0F">
          <w:rPr>
            <w:rStyle w:val="a3"/>
            <w:b/>
            <w:bCs/>
            <w:iCs/>
          </w:rPr>
          <w:t>Закон України  № 1636-VII «Про створення вільної економічної зони «Крим» та про особливості здійснення економічної діяльності на тимчасово окупованій території України».</w:t>
        </w:r>
      </w:hyperlink>
      <w:r w:rsidRPr="00811D0F">
        <w:t xml:space="preserve"> (далі – Закон)</w:t>
      </w:r>
    </w:p>
    <w:p w:rsidR="006144AA" w:rsidRPr="00811D0F" w:rsidRDefault="006144AA" w:rsidP="00811D0F">
      <w:pPr>
        <w:pStyle w:val="a4"/>
        <w:spacing w:before="0" w:beforeAutospacing="0" w:after="0" w:afterAutospacing="0"/>
        <w:ind w:firstLine="709"/>
        <w:jc w:val="both"/>
      </w:pPr>
    </w:p>
    <w:p w:rsidR="006144AA" w:rsidRPr="00811D0F" w:rsidRDefault="006144AA" w:rsidP="00811D0F">
      <w:pPr>
        <w:pStyle w:val="a4"/>
        <w:spacing w:before="0" w:beforeAutospacing="0" w:after="0" w:afterAutospacing="0"/>
        <w:ind w:firstLine="709"/>
        <w:jc w:val="both"/>
      </w:pPr>
      <w:r w:rsidRPr="00811D0F">
        <w:t>Законом встановлено, зокрема:</w:t>
      </w:r>
    </w:p>
    <w:p w:rsidR="006144AA" w:rsidRPr="00811D0F" w:rsidRDefault="006144AA" w:rsidP="00811D0F">
      <w:pPr>
        <w:pStyle w:val="a4"/>
        <w:numPr>
          <w:ilvl w:val="0"/>
          <w:numId w:val="1"/>
        </w:numPr>
        <w:spacing w:before="0" w:beforeAutospacing="0" w:after="0" w:afterAutospacing="0"/>
        <w:ind w:left="0" w:firstLine="709"/>
        <w:jc w:val="both"/>
      </w:pPr>
      <w:r w:rsidRPr="00811D0F">
        <w:rPr>
          <w:b/>
          <w:u w:val="single"/>
        </w:rPr>
        <w:t>Переказ цінних паперів та/або прав на цінні папери</w:t>
      </w:r>
      <w:r w:rsidRPr="00811D0F">
        <w:t xml:space="preserve"> чи прав за цінними паперами, якщо їхнім одержувачем є особа, яка знаходиться або зареєстрована на тимчасово окупованій території України, </w:t>
      </w:r>
      <w:r w:rsidRPr="00811D0F">
        <w:rPr>
          <w:rStyle w:val="a5"/>
          <w:u w:val="single"/>
        </w:rPr>
        <w:t>здійснюється після повної оплати цих цінних паперів</w:t>
      </w:r>
      <w:r w:rsidRPr="00811D0F">
        <w:t>.</w:t>
      </w:r>
    </w:p>
    <w:p w:rsidR="006144AA" w:rsidRPr="00811D0F" w:rsidRDefault="006144AA" w:rsidP="00811D0F">
      <w:pPr>
        <w:pStyle w:val="a4"/>
        <w:numPr>
          <w:ilvl w:val="0"/>
          <w:numId w:val="1"/>
        </w:numPr>
        <w:spacing w:before="0" w:beforeAutospacing="0" w:after="0" w:afterAutospacing="0"/>
        <w:ind w:left="0" w:firstLine="709"/>
        <w:jc w:val="both"/>
      </w:pPr>
      <w:r w:rsidRPr="00811D0F">
        <w:rPr>
          <w:rStyle w:val="a5"/>
          <w:u w:val="single"/>
        </w:rPr>
        <w:t>Розрахунок за правочинами щодо цінних паперів</w:t>
      </w:r>
      <w:r w:rsidRPr="00811D0F">
        <w:t xml:space="preserve"> (переказу цінних паперів та/або прав на цінні папери чи прав за цінними паперами), </w:t>
      </w:r>
      <w:r w:rsidRPr="00811D0F">
        <w:rPr>
          <w:rStyle w:val="a5"/>
          <w:b w:val="0"/>
        </w:rPr>
        <w:t>якщо їхнім набувачем є особа, яка розташована (знаходиться) на тимчасово окупованій території України</w:t>
      </w:r>
      <w:r w:rsidRPr="00811D0F">
        <w:rPr>
          <w:rStyle w:val="a5"/>
          <w:u w:val="single"/>
        </w:rPr>
        <w:t>, здійснюється за принципом поставки проти оплати</w:t>
      </w:r>
      <w:r w:rsidRPr="00811D0F">
        <w:t xml:space="preserve">, передбаченим у </w:t>
      </w:r>
      <w:hyperlink r:id="rId10" w:anchor="n25" w:history="1">
        <w:r w:rsidRPr="00811D0F">
          <w:rPr>
            <w:rStyle w:val="a3"/>
            <w:color w:val="auto"/>
            <w:u w:val="none"/>
          </w:rPr>
          <w:t>пункті 18</w:t>
        </w:r>
      </w:hyperlink>
      <w:r w:rsidRPr="00811D0F">
        <w:t xml:space="preserve"> статті 1 Закону України "Про депозитарну систему України".</w:t>
      </w:r>
    </w:p>
    <w:p w:rsidR="006144AA" w:rsidRPr="00811D0F" w:rsidRDefault="006144AA" w:rsidP="00811D0F">
      <w:pPr>
        <w:pStyle w:val="a4"/>
        <w:spacing w:before="0" w:beforeAutospacing="0" w:after="0" w:afterAutospacing="0"/>
        <w:ind w:firstLine="709"/>
        <w:jc w:val="both"/>
      </w:pPr>
      <w:r w:rsidRPr="00811D0F">
        <w:t> </w:t>
      </w:r>
    </w:p>
    <w:p w:rsidR="006144AA" w:rsidRPr="00811D0F" w:rsidRDefault="006144AA" w:rsidP="00811D0F">
      <w:pPr>
        <w:spacing w:after="0" w:line="240" w:lineRule="auto"/>
        <w:ind w:firstLine="709"/>
        <w:jc w:val="both"/>
        <w:rPr>
          <w:rFonts w:ascii="Times New Roman" w:hAnsi="Times New Roman" w:cs="Times New Roman"/>
          <w:sz w:val="24"/>
          <w:szCs w:val="24"/>
        </w:rPr>
      </w:pPr>
      <w:r w:rsidRPr="00811D0F">
        <w:rPr>
          <w:sz w:val="24"/>
          <w:szCs w:val="24"/>
        </w:rPr>
        <w:tab/>
      </w:r>
      <w:r w:rsidRPr="00811D0F">
        <w:rPr>
          <w:rFonts w:ascii="Times New Roman" w:hAnsi="Times New Roman" w:cs="Times New Roman"/>
          <w:sz w:val="24"/>
          <w:szCs w:val="24"/>
        </w:rPr>
        <w:t>З метою виконання вищевказаних норм Закону рекомендуємо депозитарним установам:</w:t>
      </w:r>
    </w:p>
    <w:p w:rsidR="006144AA" w:rsidRPr="00811D0F" w:rsidRDefault="006144AA" w:rsidP="00811D0F">
      <w:pPr>
        <w:spacing w:after="0" w:line="240" w:lineRule="auto"/>
        <w:ind w:firstLine="709"/>
        <w:jc w:val="both"/>
        <w:rPr>
          <w:rFonts w:ascii="Times New Roman" w:hAnsi="Times New Roman" w:cs="Times New Roman"/>
          <w:sz w:val="24"/>
          <w:szCs w:val="24"/>
        </w:rPr>
      </w:pPr>
    </w:p>
    <w:p w:rsidR="006144AA" w:rsidRPr="00811D0F" w:rsidRDefault="006144AA" w:rsidP="00811D0F">
      <w:pPr>
        <w:pStyle w:val="a6"/>
        <w:numPr>
          <w:ilvl w:val="0"/>
          <w:numId w:val="2"/>
        </w:numPr>
        <w:spacing w:after="0" w:line="240" w:lineRule="auto"/>
        <w:ind w:left="0" w:firstLine="709"/>
        <w:jc w:val="both"/>
        <w:rPr>
          <w:rFonts w:ascii="Times New Roman" w:hAnsi="Times New Roman" w:cs="Times New Roman"/>
          <w:sz w:val="24"/>
          <w:szCs w:val="24"/>
        </w:rPr>
      </w:pPr>
      <w:r w:rsidRPr="00811D0F">
        <w:rPr>
          <w:rFonts w:ascii="Times New Roman" w:hAnsi="Times New Roman" w:cs="Times New Roman"/>
          <w:sz w:val="24"/>
          <w:szCs w:val="24"/>
        </w:rPr>
        <w:t xml:space="preserve">Внести зміни до внутрішньої форми розпорядження на проведення </w:t>
      </w:r>
      <w:r w:rsidRPr="00811D0F">
        <w:rPr>
          <w:rFonts w:ascii="Times New Roman" w:hAnsi="Times New Roman"/>
          <w:sz w:val="24"/>
          <w:szCs w:val="24"/>
        </w:rPr>
        <w:t>облікових операцій, які надаються депонентами, керуючими рахунків депоне</w:t>
      </w:r>
      <w:bookmarkStart w:id="0" w:name="_GoBack"/>
      <w:bookmarkEnd w:id="0"/>
      <w:r w:rsidRPr="00811D0F">
        <w:rPr>
          <w:rFonts w:ascii="Times New Roman" w:hAnsi="Times New Roman"/>
          <w:sz w:val="24"/>
          <w:szCs w:val="24"/>
        </w:rPr>
        <w:t>нтів депозитарній установі та пов'язані з набуттям/припиненням прав на цінні папери щодо розширення переліку відомостей про контрагента-одержувача цінних паперів/прав на цінні папери та відомостей про правочин, що є підставою для переходу права власності на цінні папери.</w:t>
      </w:r>
    </w:p>
    <w:p w:rsidR="006144AA" w:rsidRPr="00811D0F" w:rsidRDefault="006144AA" w:rsidP="00811D0F">
      <w:pPr>
        <w:pStyle w:val="a6"/>
        <w:spacing w:after="0" w:line="240" w:lineRule="auto"/>
        <w:ind w:left="0" w:firstLine="709"/>
        <w:jc w:val="both"/>
        <w:rPr>
          <w:rFonts w:ascii="Times New Roman" w:hAnsi="Times New Roman"/>
          <w:sz w:val="24"/>
          <w:szCs w:val="24"/>
        </w:rPr>
      </w:pPr>
      <w:r w:rsidRPr="00811D0F">
        <w:rPr>
          <w:rFonts w:ascii="Times New Roman" w:hAnsi="Times New Roman"/>
          <w:sz w:val="24"/>
          <w:szCs w:val="24"/>
        </w:rPr>
        <w:t>Зокрема, рекомендуємо внутрішню форму розпорядження на поставку прав на цінні папери доповнити графами:</w:t>
      </w:r>
    </w:p>
    <w:p w:rsidR="006144AA" w:rsidRPr="00811D0F" w:rsidRDefault="006144AA" w:rsidP="00811D0F">
      <w:pPr>
        <w:pStyle w:val="a6"/>
        <w:numPr>
          <w:ilvl w:val="0"/>
          <w:numId w:val="3"/>
        </w:numPr>
        <w:spacing w:after="0" w:line="240" w:lineRule="auto"/>
        <w:ind w:left="0" w:firstLine="709"/>
        <w:jc w:val="both"/>
        <w:rPr>
          <w:rFonts w:ascii="Times New Roman" w:hAnsi="Times New Roman"/>
          <w:sz w:val="24"/>
          <w:szCs w:val="24"/>
        </w:rPr>
      </w:pPr>
      <w:r w:rsidRPr="00811D0F">
        <w:rPr>
          <w:rFonts w:ascii="Times New Roman" w:hAnsi="Times New Roman"/>
          <w:sz w:val="24"/>
          <w:szCs w:val="24"/>
        </w:rPr>
        <w:t>щодо контрагента</w:t>
      </w:r>
    </w:p>
    <w:p w:rsidR="006144AA" w:rsidRPr="00811D0F" w:rsidRDefault="006144AA" w:rsidP="00811D0F">
      <w:pPr>
        <w:pStyle w:val="a6"/>
        <w:numPr>
          <w:ilvl w:val="0"/>
          <w:numId w:val="4"/>
        </w:numPr>
        <w:spacing w:after="0" w:line="240" w:lineRule="auto"/>
        <w:ind w:left="0" w:firstLine="709"/>
        <w:jc w:val="both"/>
        <w:rPr>
          <w:rFonts w:ascii="Times New Roman" w:hAnsi="Times New Roman"/>
          <w:sz w:val="24"/>
          <w:szCs w:val="24"/>
        </w:rPr>
      </w:pPr>
      <w:r w:rsidRPr="00811D0F">
        <w:rPr>
          <w:rFonts w:ascii="Times New Roman" w:hAnsi="Times New Roman"/>
          <w:sz w:val="24"/>
          <w:szCs w:val="24"/>
        </w:rPr>
        <w:t>якщо контрагент-фізична особа – «адреса реєстрації місця проживання»</w:t>
      </w:r>
    </w:p>
    <w:p w:rsidR="006144AA" w:rsidRPr="00811D0F" w:rsidRDefault="006144AA" w:rsidP="00811D0F">
      <w:pPr>
        <w:pStyle w:val="a6"/>
        <w:numPr>
          <w:ilvl w:val="0"/>
          <w:numId w:val="4"/>
        </w:numPr>
        <w:spacing w:after="0" w:line="240" w:lineRule="auto"/>
        <w:ind w:left="0" w:firstLine="709"/>
        <w:jc w:val="both"/>
        <w:rPr>
          <w:rFonts w:ascii="Times New Roman" w:hAnsi="Times New Roman"/>
          <w:sz w:val="24"/>
          <w:szCs w:val="24"/>
        </w:rPr>
      </w:pPr>
      <w:r w:rsidRPr="00811D0F">
        <w:rPr>
          <w:rFonts w:ascii="Times New Roman" w:hAnsi="Times New Roman"/>
          <w:sz w:val="24"/>
          <w:szCs w:val="24"/>
        </w:rPr>
        <w:t>якщо контрагент юридична особа – «місцезнаходження (із зазначенням країни реєстрації)».</w:t>
      </w:r>
    </w:p>
    <w:p w:rsidR="006144AA" w:rsidRPr="00811D0F" w:rsidRDefault="006144AA" w:rsidP="00811D0F">
      <w:pPr>
        <w:pStyle w:val="a6"/>
        <w:numPr>
          <w:ilvl w:val="0"/>
          <w:numId w:val="3"/>
        </w:numPr>
        <w:spacing w:after="0" w:line="240" w:lineRule="auto"/>
        <w:ind w:left="0" w:firstLine="709"/>
        <w:jc w:val="both"/>
        <w:rPr>
          <w:rFonts w:ascii="Times New Roman" w:hAnsi="Times New Roman"/>
          <w:sz w:val="24"/>
          <w:szCs w:val="24"/>
        </w:rPr>
      </w:pPr>
      <w:r w:rsidRPr="00811D0F">
        <w:rPr>
          <w:rFonts w:ascii="Times New Roman" w:hAnsi="Times New Roman"/>
          <w:sz w:val="24"/>
          <w:szCs w:val="24"/>
        </w:rPr>
        <w:t>щодо правочину, який є підставою для переходу права власності на цінні папери</w:t>
      </w:r>
    </w:p>
    <w:p w:rsidR="006144AA" w:rsidRPr="00811D0F" w:rsidRDefault="006144AA" w:rsidP="00811D0F">
      <w:pPr>
        <w:pStyle w:val="a6"/>
        <w:numPr>
          <w:ilvl w:val="0"/>
          <w:numId w:val="4"/>
        </w:numPr>
        <w:spacing w:after="0" w:line="240" w:lineRule="auto"/>
        <w:ind w:left="0" w:firstLine="709"/>
        <w:jc w:val="both"/>
        <w:rPr>
          <w:rFonts w:ascii="Times New Roman" w:hAnsi="Times New Roman"/>
          <w:sz w:val="24"/>
          <w:szCs w:val="24"/>
        </w:rPr>
      </w:pPr>
      <w:r w:rsidRPr="00811D0F">
        <w:rPr>
          <w:rFonts w:ascii="Times New Roman" w:hAnsi="Times New Roman"/>
          <w:sz w:val="24"/>
          <w:szCs w:val="24"/>
        </w:rPr>
        <w:t>вид правочину – оплатний або безоплатний</w:t>
      </w:r>
    </w:p>
    <w:p w:rsidR="006144AA" w:rsidRPr="00811D0F" w:rsidRDefault="006144AA" w:rsidP="00811D0F">
      <w:pPr>
        <w:pStyle w:val="a6"/>
        <w:numPr>
          <w:ilvl w:val="0"/>
          <w:numId w:val="4"/>
        </w:numPr>
        <w:spacing w:after="0" w:line="240" w:lineRule="auto"/>
        <w:ind w:left="0" w:firstLine="709"/>
        <w:jc w:val="both"/>
        <w:rPr>
          <w:rFonts w:ascii="Times New Roman" w:hAnsi="Times New Roman" w:cs="Times New Roman"/>
          <w:sz w:val="24"/>
          <w:szCs w:val="24"/>
        </w:rPr>
      </w:pPr>
      <w:r w:rsidRPr="00811D0F">
        <w:rPr>
          <w:rFonts w:ascii="Times New Roman" w:hAnsi="Times New Roman" w:cs="Times New Roman"/>
          <w:sz w:val="24"/>
          <w:szCs w:val="24"/>
        </w:rPr>
        <w:t>сума правочину (цифрами та прописом) (для оплатних правочинів)</w:t>
      </w:r>
    </w:p>
    <w:p w:rsidR="006144AA" w:rsidRPr="00811D0F" w:rsidRDefault="006144AA" w:rsidP="00811D0F">
      <w:pPr>
        <w:spacing w:after="0" w:line="240" w:lineRule="auto"/>
        <w:ind w:firstLine="709"/>
        <w:jc w:val="both"/>
        <w:rPr>
          <w:rFonts w:ascii="Times New Roman" w:hAnsi="Times New Roman" w:cs="Times New Roman"/>
          <w:sz w:val="24"/>
          <w:szCs w:val="24"/>
        </w:rPr>
      </w:pPr>
    </w:p>
    <w:p w:rsidR="006144AA" w:rsidRPr="00811D0F" w:rsidRDefault="006144AA" w:rsidP="00811D0F">
      <w:pPr>
        <w:pStyle w:val="a6"/>
        <w:spacing w:after="0" w:line="240" w:lineRule="auto"/>
        <w:ind w:left="0" w:firstLine="709"/>
        <w:jc w:val="both"/>
        <w:rPr>
          <w:rFonts w:ascii="Times New Roman" w:hAnsi="Times New Roman" w:cs="Times New Roman"/>
          <w:sz w:val="24"/>
          <w:szCs w:val="24"/>
        </w:rPr>
      </w:pPr>
      <w:r w:rsidRPr="00811D0F">
        <w:rPr>
          <w:rFonts w:ascii="Times New Roman" w:hAnsi="Times New Roman" w:cs="Times New Roman"/>
          <w:sz w:val="24"/>
          <w:szCs w:val="24"/>
        </w:rPr>
        <w:t>Рекомендуємо визначити такі графи обов’язковими для заповнення в розпорядженнях на поставку прав на цінні папери, крім операцій</w:t>
      </w:r>
      <w:r w:rsidR="000E2238" w:rsidRPr="00811D0F">
        <w:rPr>
          <w:rFonts w:ascii="Times New Roman" w:hAnsi="Times New Roman" w:cs="Times New Roman"/>
          <w:sz w:val="24"/>
          <w:szCs w:val="24"/>
        </w:rPr>
        <w:t xml:space="preserve"> </w:t>
      </w:r>
      <w:r w:rsidRPr="00811D0F">
        <w:rPr>
          <w:rFonts w:ascii="Times New Roman" w:hAnsi="Times New Roman"/>
          <w:sz w:val="24"/>
          <w:szCs w:val="24"/>
        </w:rPr>
        <w:t>списання прав на цінні папери з рахунку в цінних паперах депонента в одній депозитарній установі з метою їх зарахування на рахунок у цінних паперах цього самого депонент</w:t>
      </w:r>
      <w:r w:rsidR="000E2238" w:rsidRPr="00811D0F">
        <w:rPr>
          <w:rFonts w:ascii="Times New Roman" w:hAnsi="Times New Roman"/>
          <w:sz w:val="24"/>
          <w:szCs w:val="24"/>
        </w:rPr>
        <w:t>а в іншій депозитарній установі.</w:t>
      </w:r>
    </w:p>
    <w:p w:rsidR="006144AA" w:rsidRPr="00811D0F" w:rsidRDefault="006144AA" w:rsidP="00811D0F">
      <w:pPr>
        <w:pStyle w:val="a6"/>
        <w:spacing w:after="0" w:line="240" w:lineRule="auto"/>
        <w:ind w:left="0" w:firstLine="709"/>
        <w:jc w:val="both"/>
        <w:rPr>
          <w:rFonts w:ascii="Times New Roman" w:hAnsi="Times New Roman"/>
          <w:sz w:val="24"/>
          <w:szCs w:val="24"/>
        </w:rPr>
      </w:pPr>
    </w:p>
    <w:p w:rsidR="006144AA" w:rsidRPr="00811D0F" w:rsidRDefault="006144AA" w:rsidP="00811D0F">
      <w:pPr>
        <w:pStyle w:val="a6"/>
        <w:spacing w:after="0" w:line="240" w:lineRule="auto"/>
        <w:ind w:left="0" w:firstLine="709"/>
        <w:jc w:val="both"/>
        <w:rPr>
          <w:rFonts w:ascii="Times New Roman" w:hAnsi="Times New Roman"/>
          <w:sz w:val="24"/>
          <w:szCs w:val="24"/>
        </w:rPr>
      </w:pPr>
      <w:r w:rsidRPr="00811D0F">
        <w:rPr>
          <w:rFonts w:ascii="Times New Roman" w:hAnsi="Times New Roman"/>
          <w:sz w:val="24"/>
          <w:szCs w:val="24"/>
        </w:rPr>
        <w:t xml:space="preserve">У випадку неможливості оперативного внесення змін до внутрішньої форми розпорядження на проведення облікових операцій, що пов'язані з набуттям/припиненням прав на цінні папери, рекомендуємо депозитарним установам крім документів, визначених законодавством, подання їх є необхідним для проведення операції щодо поставки прав на цінні папери, додатково на підставі </w:t>
      </w:r>
      <w:r w:rsidR="00F33CB7" w:rsidRPr="00811D0F">
        <w:rPr>
          <w:rFonts w:ascii="Times New Roman" w:hAnsi="Times New Roman"/>
          <w:sz w:val="24"/>
          <w:szCs w:val="24"/>
        </w:rPr>
        <w:t xml:space="preserve">абзацу четвертого </w:t>
      </w:r>
      <w:r w:rsidR="00B12F78" w:rsidRPr="00811D0F">
        <w:rPr>
          <w:rFonts w:ascii="Times New Roman" w:hAnsi="Times New Roman"/>
          <w:sz w:val="24"/>
          <w:szCs w:val="24"/>
        </w:rPr>
        <w:t xml:space="preserve">та дев’ятого </w:t>
      </w:r>
      <w:r w:rsidRPr="00811D0F">
        <w:rPr>
          <w:rFonts w:ascii="Times New Roman" w:hAnsi="Times New Roman"/>
          <w:sz w:val="24"/>
          <w:szCs w:val="24"/>
        </w:rPr>
        <w:t xml:space="preserve">пункту 15.2 статті 15 Закону вимагати (крім </w:t>
      </w:r>
      <w:r w:rsidR="00014586" w:rsidRPr="00811D0F">
        <w:rPr>
          <w:rFonts w:ascii="Times New Roman" w:hAnsi="Times New Roman"/>
          <w:sz w:val="24"/>
          <w:szCs w:val="24"/>
        </w:rPr>
        <w:t>вказаного вище випадку</w:t>
      </w:r>
      <w:r w:rsidRPr="00811D0F">
        <w:rPr>
          <w:rFonts w:ascii="Times New Roman" w:hAnsi="Times New Roman"/>
          <w:sz w:val="24"/>
          <w:szCs w:val="24"/>
        </w:rPr>
        <w:t xml:space="preserve">) надання інформації та/або документів, що дають змогу </w:t>
      </w:r>
      <w:r w:rsidRPr="00811D0F">
        <w:rPr>
          <w:rFonts w:ascii="Times New Roman" w:hAnsi="Times New Roman"/>
          <w:sz w:val="24"/>
          <w:szCs w:val="24"/>
        </w:rPr>
        <w:lastRenderedPageBreak/>
        <w:t>визначити адресу реєстрації місця проживання/місцезнаходження (із зазначенням країни реєстрації) контрагента - одержувача цінних паперів/прав на цінні папери, а також дані щодо правочину, який є підставою для переходу права власності на цінні папери (вид правочину-оплатний чи безоплатний, сума правочину).</w:t>
      </w:r>
    </w:p>
    <w:p w:rsidR="00C265F0" w:rsidRPr="00811D0F" w:rsidRDefault="00C265F0" w:rsidP="00811D0F">
      <w:pPr>
        <w:spacing w:after="0" w:line="240" w:lineRule="auto"/>
        <w:ind w:firstLine="709"/>
        <w:jc w:val="both"/>
        <w:rPr>
          <w:rFonts w:ascii="Times New Roman" w:hAnsi="Times New Roman"/>
          <w:sz w:val="24"/>
          <w:szCs w:val="24"/>
        </w:rPr>
      </w:pPr>
    </w:p>
    <w:p w:rsidR="00CC7CB9" w:rsidRPr="00811D0F" w:rsidRDefault="00CC7CB9" w:rsidP="00811D0F">
      <w:pPr>
        <w:pStyle w:val="a6"/>
        <w:numPr>
          <w:ilvl w:val="0"/>
          <w:numId w:val="2"/>
        </w:numPr>
        <w:spacing w:after="0" w:line="240" w:lineRule="auto"/>
        <w:ind w:left="0" w:firstLine="709"/>
        <w:jc w:val="both"/>
        <w:rPr>
          <w:rFonts w:ascii="Times New Roman" w:hAnsi="Times New Roman"/>
          <w:b/>
          <w:sz w:val="24"/>
          <w:szCs w:val="24"/>
          <w:u w:val="single"/>
        </w:rPr>
      </w:pPr>
      <w:r w:rsidRPr="00811D0F">
        <w:rPr>
          <w:rFonts w:ascii="Times New Roman" w:hAnsi="Times New Roman"/>
          <w:b/>
          <w:sz w:val="24"/>
          <w:szCs w:val="24"/>
          <w:u w:val="single"/>
        </w:rPr>
        <w:t xml:space="preserve">Про застосування </w:t>
      </w:r>
      <w:r w:rsidR="00A650E5" w:rsidRPr="00811D0F">
        <w:rPr>
          <w:rFonts w:ascii="Times New Roman" w:hAnsi="Times New Roman"/>
          <w:b/>
          <w:sz w:val="24"/>
          <w:szCs w:val="24"/>
          <w:u w:val="single"/>
        </w:rPr>
        <w:t xml:space="preserve">абзацу четвертого </w:t>
      </w:r>
      <w:r w:rsidRPr="00811D0F">
        <w:rPr>
          <w:rFonts w:ascii="Times New Roman" w:hAnsi="Times New Roman"/>
          <w:b/>
          <w:sz w:val="24"/>
          <w:szCs w:val="24"/>
          <w:u w:val="single"/>
        </w:rPr>
        <w:t>пункту 15.2 статті 15 Закону щодо переказу/списання депозитарними установами прав за цінними паперами, якщо</w:t>
      </w:r>
      <w:r w:rsidR="00DD2A7C" w:rsidRPr="00811D0F">
        <w:rPr>
          <w:rFonts w:ascii="Times New Roman" w:hAnsi="Times New Roman"/>
          <w:b/>
          <w:sz w:val="24"/>
          <w:szCs w:val="24"/>
          <w:u w:val="single"/>
        </w:rPr>
        <w:t xml:space="preserve"> </w:t>
      </w:r>
      <w:r w:rsidR="00956D67" w:rsidRPr="00811D0F">
        <w:rPr>
          <w:rFonts w:ascii="Times New Roman" w:hAnsi="Times New Roman"/>
          <w:b/>
          <w:sz w:val="24"/>
          <w:szCs w:val="24"/>
          <w:u w:val="single"/>
        </w:rPr>
        <w:t>депонент, керуючий рахунком в цінних паперах депонента ініціює проведення операції за розпорядженням</w:t>
      </w:r>
    </w:p>
    <w:p w:rsidR="00C265F0" w:rsidRPr="00811D0F" w:rsidRDefault="00C265F0" w:rsidP="00811D0F">
      <w:pPr>
        <w:pStyle w:val="a6"/>
        <w:spacing w:after="0" w:line="240" w:lineRule="auto"/>
        <w:ind w:left="0" w:firstLine="709"/>
        <w:jc w:val="both"/>
        <w:rPr>
          <w:rFonts w:ascii="Times New Roman" w:hAnsi="Times New Roman"/>
          <w:sz w:val="24"/>
          <w:szCs w:val="24"/>
        </w:rPr>
      </w:pPr>
    </w:p>
    <w:p w:rsidR="00083B89" w:rsidRPr="00811D0F" w:rsidRDefault="006144AA" w:rsidP="00811D0F">
      <w:pPr>
        <w:pStyle w:val="a6"/>
        <w:spacing w:after="0" w:line="240" w:lineRule="auto"/>
        <w:ind w:left="0" w:firstLine="709"/>
        <w:jc w:val="both"/>
        <w:rPr>
          <w:rFonts w:ascii="Times New Roman" w:hAnsi="Times New Roman"/>
          <w:sz w:val="24"/>
          <w:szCs w:val="24"/>
        </w:rPr>
      </w:pPr>
      <w:r w:rsidRPr="00811D0F">
        <w:rPr>
          <w:rFonts w:ascii="Times New Roman" w:hAnsi="Times New Roman"/>
          <w:sz w:val="24"/>
          <w:szCs w:val="24"/>
        </w:rPr>
        <w:t>У випадку, якщо про контрагент-одержувач цінних паперів/прав на цінні папери, що передаються у власність згідно оплатного правочину, має місцезнаходження/адресу реєстрації місця проживання на тимчасово окупованій території України</w:t>
      </w:r>
      <w:r w:rsidR="00F66AFA" w:rsidRPr="00811D0F">
        <w:rPr>
          <w:rFonts w:ascii="Times New Roman" w:hAnsi="Times New Roman"/>
          <w:sz w:val="24"/>
          <w:szCs w:val="24"/>
        </w:rPr>
        <w:t xml:space="preserve"> та</w:t>
      </w:r>
      <w:r w:rsidR="00DE308F" w:rsidRPr="00811D0F">
        <w:rPr>
          <w:rFonts w:ascii="Times New Roman" w:hAnsi="Times New Roman"/>
          <w:sz w:val="24"/>
          <w:szCs w:val="24"/>
        </w:rPr>
        <w:t xml:space="preserve"> якщо</w:t>
      </w:r>
      <w:r w:rsidR="00F66AFA" w:rsidRPr="00811D0F">
        <w:rPr>
          <w:rFonts w:ascii="Times New Roman" w:hAnsi="Times New Roman"/>
          <w:sz w:val="24"/>
          <w:szCs w:val="24"/>
        </w:rPr>
        <w:t>:</w:t>
      </w:r>
    </w:p>
    <w:p w:rsidR="006144AA" w:rsidRPr="00811D0F" w:rsidRDefault="00F66AFA" w:rsidP="00811D0F">
      <w:pPr>
        <w:pStyle w:val="a6"/>
        <w:numPr>
          <w:ilvl w:val="0"/>
          <w:numId w:val="5"/>
        </w:numPr>
        <w:spacing w:after="0" w:line="240" w:lineRule="auto"/>
        <w:ind w:left="0" w:firstLine="709"/>
        <w:jc w:val="both"/>
        <w:rPr>
          <w:rFonts w:ascii="Times New Roman" w:hAnsi="Times New Roman"/>
          <w:sz w:val="24"/>
          <w:szCs w:val="24"/>
        </w:rPr>
      </w:pPr>
      <w:r w:rsidRPr="00811D0F">
        <w:rPr>
          <w:rFonts w:ascii="Times New Roman" w:hAnsi="Times New Roman"/>
          <w:b/>
          <w:sz w:val="24"/>
          <w:szCs w:val="24"/>
          <w:u w:val="single"/>
        </w:rPr>
        <w:t>оплатний правочин щодо цінних паперів укладено</w:t>
      </w:r>
      <w:r w:rsidR="004B3247" w:rsidRPr="00811D0F">
        <w:rPr>
          <w:rFonts w:ascii="Times New Roman" w:hAnsi="Times New Roman"/>
          <w:b/>
          <w:sz w:val="24"/>
          <w:szCs w:val="24"/>
          <w:u w:val="single"/>
        </w:rPr>
        <w:t xml:space="preserve"> сторонами до набрання чинності </w:t>
      </w:r>
      <w:r w:rsidRPr="00811D0F">
        <w:rPr>
          <w:rFonts w:ascii="Times New Roman" w:hAnsi="Times New Roman"/>
          <w:b/>
          <w:sz w:val="24"/>
          <w:szCs w:val="24"/>
          <w:u w:val="single"/>
        </w:rPr>
        <w:t>Законом (до 27.09.2014 року)</w:t>
      </w:r>
      <w:r w:rsidRPr="00811D0F">
        <w:rPr>
          <w:rFonts w:ascii="Times New Roman" w:hAnsi="Times New Roman"/>
          <w:sz w:val="24"/>
          <w:szCs w:val="24"/>
        </w:rPr>
        <w:t>, то</w:t>
      </w:r>
      <w:r w:rsidR="006144AA" w:rsidRPr="00811D0F">
        <w:rPr>
          <w:rFonts w:ascii="Times New Roman" w:hAnsi="Times New Roman"/>
          <w:sz w:val="24"/>
          <w:szCs w:val="24"/>
        </w:rPr>
        <w:t xml:space="preserve"> на підставі підпункту в) пункту 15.2 статті 15 Закону вимагати надання документів, що підтверджують </w:t>
      </w:r>
      <w:r w:rsidR="006144AA" w:rsidRPr="00811D0F">
        <w:rPr>
          <w:rFonts w:ascii="Times New Roman" w:hAnsi="Times New Roman"/>
          <w:sz w:val="24"/>
          <w:szCs w:val="24"/>
          <w:u w:val="single"/>
        </w:rPr>
        <w:t>повну</w:t>
      </w:r>
      <w:r w:rsidR="006144AA" w:rsidRPr="00811D0F">
        <w:rPr>
          <w:rFonts w:ascii="Times New Roman" w:hAnsi="Times New Roman"/>
          <w:sz w:val="24"/>
          <w:szCs w:val="24"/>
        </w:rPr>
        <w:t xml:space="preserve"> оплату відповідних цінних паперів.</w:t>
      </w:r>
      <w:r w:rsidR="00FE4727" w:rsidRPr="00811D0F">
        <w:rPr>
          <w:rFonts w:ascii="Times New Roman" w:hAnsi="Times New Roman"/>
          <w:sz w:val="24"/>
          <w:szCs w:val="24"/>
        </w:rPr>
        <w:t xml:space="preserve"> </w:t>
      </w: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 xml:space="preserve">У випадку ненадання депозитарній установі вищевказаних даних щодо контрагента, правочину, який є підставою для переходу права власності, а також щодо повної оплати цінних паперів, рекомендуємо депозитарним установам відмовляти у проведенні відповідних депозитарних операцій згідно </w:t>
      </w:r>
      <w:r w:rsidR="00125454" w:rsidRPr="00811D0F">
        <w:rPr>
          <w:rFonts w:ascii="Times New Roman" w:hAnsi="Times New Roman"/>
          <w:sz w:val="24"/>
          <w:szCs w:val="24"/>
        </w:rPr>
        <w:t xml:space="preserve">абзацу четвертого </w:t>
      </w:r>
      <w:r w:rsidRPr="00811D0F">
        <w:rPr>
          <w:rFonts w:ascii="Times New Roman" w:hAnsi="Times New Roman"/>
          <w:sz w:val="24"/>
          <w:szCs w:val="24"/>
        </w:rPr>
        <w:t>пункту 15.2 статті 15 Закону. Адже у випадку ненадання зазначеної інформації існує ризик порушення депозитарною установою норм Закону у зв’язку з неможливістю перевірки інформації.</w:t>
      </w:r>
    </w:p>
    <w:p w:rsidR="000F34D9" w:rsidRPr="00811D0F" w:rsidRDefault="000F34D9"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 xml:space="preserve">У випадку надання депозитарній установі </w:t>
      </w:r>
      <w:r w:rsidR="00BF06C8" w:rsidRPr="00811D0F">
        <w:rPr>
          <w:rFonts w:ascii="Times New Roman" w:hAnsi="Times New Roman"/>
          <w:sz w:val="24"/>
          <w:szCs w:val="24"/>
        </w:rPr>
        <w:t xml:space="preserve">документів, що підтверджують повну оплату відповідних цінних паперів, але </w:t>
      </w:r>
      <w:r w:rsidR="004B742C" w:rsidRPr="00811D0F">
        <w:rPr>
          <w:rFonts w:ascii="Times New Roman" w:hAnsi="Times New Roman"/>
          <w:b/>
          <w:sz w:val="24"/>
          <w:szCs w:val="24"/>
          <w:u w:val="single"/>
        </w:rPr>
        <w:t xml:space="preserve">повна </w:t>
      </w:r>
      <w:r w:rsidR="00BF06C8" w:rsidRPr="00811D0F">
        <w:rPr>
          <w:rFonts w:ascii="Times New Roman" w:hAnsi="Times New Roman"/>
          <w:b/>
          <w:sz w:val="24"/>
          <w:szCs w:val="24"/>
          <w:u w:val="single"/>
        </w:rPr>
        <w:t xml:space="preserve">оплата </w:t>
      </w:r>
      <w:r w:rsidR="004B742C" w:rsidRPr="00811D0F">
        <w:rPr>
          <w:rFonts w:ascii="Times New Roman" w:hAnsi="Times New Roman"/>
          <w:b/>
          <w:sz w:val="24"/>
          <w:szCs w:val="24"/>
          <w:u w:val="single"/>
        </w:rPr>
        <w:t>цінних паперів була здійснена після набрання чинності Законом (після 26.09.2014 року)</w:t>
      </w:r>
      <w:r w:rsidR="004B742C" w:rsidRPr="00811D0F">
        <w:rPr>
          <w:rFonts w:ascii="Times New Roman" w:hAnsi="Times New Roman"/>
          <w:sz w:val="24"/>
          <w:szCs w:val="24"/>
        </w:rPr>
        <w:t xml:space="preserve">, то </w:t>
      </w:r>
      <w:r w:rsidR="009960F3" w:rsidRPr="00811D0F">
        <w:rPr>
          <w:rFonts w:ascii="Times New Roman" w:hAnsi="Times New Roman"/>
          <w:sz w:val="24"/>
          <w:szCs w:val="24"/>
        </w:rPr>
        <w:t>рекомендуємо депозитарним установам відмовляти в проведенні відповідних депозитарних операцій згідно абзацу дев’ятого пункту 15.2 статті 15 Закону</w:t>
      </w:r>
      <w:r w:rsidR="00CE5E5B" w:rsidRPr="00811D0F">
        <w:rPr>
          <w:rFonts w:ascii="Times New Roman" w:hAnsi="Times New Roman"/>
          <w:sz w:val="24"/>
          <w:szCs w:val="24"/>
        </w:rPr>
        <w:t>.</w:t>
      </w:r>
    </w:p>
    <w:p w:rsidR="006144AA" w:rsidRPr="00811D0F" w:rsidRDefault="003908CD"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 xml:space="preserve">У випадку надання депозитарній установі документів, що підтверджують повну оплату відповідних цінних паперів та така </w:t>
      </w:r>
      <w:r w:rsidRPr="00811D0F">
        <w:rPr>
          <w:rFonts w:ascii="Times New Roman" w:hAnsi="Times New Roman"/>
          <w:b/>
          <w:sz w:val="24"/>
          <w:szCs w:val="24"/>
          <w:u w:val="single"/>
        </w:rPr>
        <w:t>оплата була здійснена до набрання чинності Законом (до 27.09.2014 року)</w:t>
      </w:r>
      <w:r w:rsidR="00936D50" w:rsidRPr="00811D0F">
        <w:rPr>
          <w:rFonts w:ascii="Times New Roman" w:hAnsi="Times New Roman"/>
          <w:sz w:val="24"/>
          <w:szCs w:val="24"/>
        </w:rPr>
        <w:t>, то, за відсутності інших підстав для відмови в проведенні операції, визначених законодавством, вважаємо за можливе проведення депозитарною установою операції.</w:t>
      </w:r>
    </w:p>
    <w:p w:rsidR="003908CD" w:rsidRPr="00811D0F" w:rsidRDefault="003908CD" w:rsidP="00811D0F">
      <w:pPr>
        <w:spacing w:after="0" w:line="240" w:lineRule="auto"/>
        <w:ind w:firstLine="709"/>
        <w:jc w:val="both"/>
        <w:rPr>
          <w:rFonts w:ascii="Times New Roman" w:hAnsi="Times New Roman"/>
          <w:sz w:val="24"/>
          <w:szCs w:val="24"/>
        </w:rPr>
      </w:pPr>
    </w:p>
    <w:p w:rsidR="00011464" w:rsidRPr="00811D0F" w:rsidRDefault="0071330C" w:rsidP="00811D0F">
      <w:pPr>
        <w:pStyle w:val="a6"/>
        <w:numPr>
          <w:ilvl w:val="0"/>
          <w:numId w:val="5"/>
        </w:numPr>
        <w:spacing w:after="0" w:line="240" w:lineRule="auto"/>
        <w:ind w:left="0" w:firstLine="709"/>
        <w:jc w:val="both"/>
        <w:rPr>
          <w:rFonts w:ascii="Times New Roman" w:hAnsi="Times New Roman"/>
          <w:sz w:val="24"/>
          <w:szCs w:val="24"/>
        </w:rPr>
      </w:pPr>
      <w:r w:rsidRPr="00811D0F">
        <w:rPr>
          <w:rFonts w:ascii="Times New Roman" w:hAnsi="Times New Roman"/>
          <w:b/>
          <w:sz w:val="24"/>
          <w:szCs w:val="24"/>
          <w:u w:val="single"/>
        </w:rPr>
        <w:t>оплатний правочин щодо цінних паперів укладено сторонами після набрання чинності Законом (після 26.09.2014 року)</w:t>
      </w:r>
      <w:r w:rsidR="007F1731" w:rsidRPr="00811D0F">
        <w:rPr>
          <w:rFonts w:ascii="Times New Roman" w:hAnsi="Times New Roman"/>
          <w:sz w:val="24"/>
          <w:szCs w:val="24"/>
        </w:rPr>
        <w:t xml:space="preserve">, то </w:t>
      </w:r>
      <w:r w:rsidR="00F351E1" w:rsidRPr="00811D0F">
        <w:rPr>
          <w:rFonts w:ascii="Times New Roman" w:hAnsi="Times New Roman"/>
          <w:sz w:val="24"/>
          <w:szCs w:val="24"/>
        </w:rPr>
        <w:t xml:space="preserve">на підставі абзацу дев’ятого пункту 15.2 статті 15 Закону </w:t>
      </w:r>
      <w:r w:rsidR="001C5338" w:rsidRPr="00811D0F">
        <w:rPr>
          <w:rFonts w:ascii="Times New Roman" w:hAnsi="Times New Roman"/>
          <w:sz w:val="24"/>
          <w:szCs w:val="24"/>
        </w:rPr>
        <w:t>рекомендувати депозитарним установам відмовляти в проведенні відповідних депозитарних операцій.</w:t>
      </w:r>
    </w:p>
    <w:p w:rsidR="003908CD" w:rsidRPr="00811D0F" w:rsidRDefault="003908CD" w:rsidP="00811D0F">
      <w:pPr>
        <w:spacing w:after="0" w:line="240" w:lineRule="auto"/>
        <w:ind w:firstLine="709"/>
        <w:jc w:val="both"/>
        <w:rPr>
          <w:rFonts w:ascii="Times New Roman" w:hAnsi="Times New Roman"/>
          <w:sz w:val="24"/>
          <w:szCs w:val="24"/>
        </w:rPr>
      </w:pPr>
    </w:p>
    <w:p w:rsidR="006144AA" w:rsidRPr="00811D0F" w:rsidRDefault="006144AA" w:rsidP="00811D0F">
      <w:pPr>
        <w:spacing w:after="0" w:line="240" w:lineRule="auto"/>
        <w:ind w:firstLine="709"/>
        <w:jc w:val="both"/>
        <w:rPr>
          <w:rFonts w:ascii="Times New Roman" w:hAnsi="Times New Roman"/>
          <w:b/>
          <w:sz w:val="24"/>
          <w:szCs w:val="24"/>
          <w:u w:val="single"/>
        </w:rPr>
      </w:pPr>
      <w:r w:rsidRPr="00811D0F">
        <w:rPr>
          <w:rFonts w:ascii="Times New Roman" w:hAnsi="Times New Roman"/>
          <w:b/>
          <w:sz w:val="24"/>
          <w:szCs w:val="24"/>
          <w:u w:val="single"/>
        </w:rPr>
        <w:t xml:space="preserve">Про </w:t>
      </w:r>
      <w:r w:rsidR="00CC7CB9" w:rsidRPr="00811D0F">
        <w:rPr>
          <w:rFonts w:ascii="Times New Roman" w:hAnsi="Times New Roman"/>
          <w:b/>
          <w:sz w:val="24"/>
          <w:szCs w:val="24"/>
          <w:u w:val="single"/>
        </w:rPr>
        <w:t>застосування абзацу четвертого</w:t>
      </w:r>
      <w:r w:rsidRPr="00811D0F">
        <w:rPr>
          <w:rFonts w:ascii="Times New Roman" w:hAnsi="Times New Roman"/>
          <w:b/>
          <w:sz w:val="24"/>
          <w:szCs w:val="24"/>
          <w:u w:val="single"/>
        </w:rPr>
        <w:t xml:space="preserve"> пункту 15.2 статті 15 Закону щодо переказу/списання депозитарними установами прав за цінними паперами, якщо розрахунки проводять за принципом «поставка проти оплати»</w:t>
      </w:r>
    </w:p>
    <w:p w:rsidR="006144AA" w:rsidRPr="00811D0F" w:rsidRDefault="006144AA" w:rsidP="00811D0F">
      <w:pPr>
        <w:spacing w:after="0" w:line="240" w:lineRule="auto"/>
        <w:ind w:firstLine="709"/>
        <w:jc w:val="both"/>
        <w:rPr>
          <w:rFonts w:ascii="Times New Roman" w:hAnsi="Times New Roman"/>
          <w:sz w:val="24"/>
          <w:szCs w:val="24"/>
        </w:rPr>
      </w:pP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 xml:space="preserve">Згідно підпункту 18) статті 1 Закону України «Про депозитарну систему» розрахунки за принципом "поставка цінних паперів проти оплати" - механізм розрахунків за правочинами щодо цінних паперів, під час якого переказ цінних паперів та/або переказ прав на цінні папери та прав за цінними паперами відбувається відразу </w:t>
      </w:r>
      <w:r w:rsidRPr="00811D0F">
        <w:rPr>
          <w:rFonts w:ascii="Times New Roman" w:hAnsi="Times New Roman"/>
          <w:sz w:val="24"/>
          <w:szCs w:val="24"/>
          <w:u w:val="single"/>
        </w:rPr>
        <w:t>після відповідного переказу коштів</w:t>
      </w:r>
      <w:r w:rsidRPr="00811D0F">
        <w:rPr>
          <w:rFonts w:ascii="Times New Roman" w:hAnsi="Times New Roman"/>
          <w:sz w:val="24"/>
          <w:szCs w:val="24"/>
        </w:rPr>
        <w:t>.</w:t>
      </w: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Враховуючи вищевикладене, незалежно від того, чи знаходиться або зареєстрована особа, яка є отримувачем цінних паперів,  на тимчасово окупованій території України, у випадку проведення розрахунків за принципом «поставка цінних паперів проти оплати» переказ прав на цінні папери згідно законодавства здійснюється після переказу коштів. Тому норма підпункту в) пункту 15.2 статті 15 Закону виконується. Немає необхідності в отриманні депозитарними установами додаткової інформації.</w:t>
      </w:r>
    </w:p>
    <w:p w:rsidR="006144AA" w:rsidRPr="00811D0F" w:rsidRDefault="006144AA" w:rsidP="00811D0F">
      <w:pPr>
        <w:spacing w:after="0" w:line="240" w:lineRule="auto"/>
        <w:ind w:firstLine="709"/>
        <w:jc w:val="both"/>
        <w:rPr>
          <w:rFonts w:ascii="Times New Roman" w:hAnsi="Times New Roman"/>
          <w:sz w:val="24"/>
          <w:szCs w:val="24"/>
        </w:rPr>
      </w:pPr>
    </w:p>
    <w:p w:rsidR="006144AA" w:rsidRPr="00811D0F" w:rsidRDefault="006144AA" w:rsidP="00811D0F">
      <w:pPr>
        <w:spacing w:after="0" w:line="240" w:lineRule="auto"/>
        <w:ind w:firstLine="709"/>
        <w:jc w:val="both"/>
        <w:rPr>
          <w:rFonts w:ascii="Times New Roman" w:hAnsi="Times New Roman"/>
          <w:b/>
          <w:sz w:val="24"/>
          <w:szCs w:val="24"/>
          <w:u w:val="single"/>
        </w:rPr>
      </w:pPr>
      <w:r w:rsidRPr="00811D0F">
        <w:rPr>
          <w:rFonts w:ascii="Times New Roman" w:hAnsi="Times New Roman"/>
          <w:b/>
          <w:sz w:val="24"/>
          <w:szCs w:val="24"/>
          <w:u w:val="single"/>
        </w:rPr>
        <w:t xml:space="preserve">Про застосування </w:t>
      </w:r>
      <w:r w:rsidR="00CC7CB9" w:rsidRPr="00811D0F">
        <w:rPr>
          <w:rFonts w:ascii="Times New Roman" w:hAnsi="Times New Roman"/>
          <w:b/>
          <w:sz w:val="24"/>
          <w:szCs w:val="24"/>
          <w:u w:val="single"/>
        </w:rPr>
        <w:t xml:space="preserve">абзацу четвертого </w:t>
      </w:r>
      <w:r w:rsidRPr="00811D0F">
        <w:rPr>
          <w:rFonts w:ascii="Times New Roman" w:hAnsi="Times New Roman"/>
          <w:b/>
          <w:sz w:val="24"/>
          <w:szCs w:val="24"/>
          <w:u w:val="single"/>
        </w:rPr>
        <w:t xml:space="preserve">пункту 15.2 статті 15 Закону щодо переказу/списання депозитарними установами прав за цінними паперами, якщо правочин </w:t>
      </w:r>
      <w:r w:rsidRPr="00811D0F">
        <w:rPr>
          <w:rFonts w:ascii="Times New Roman" w:hAnsi="Times New Roman"/>
          <w:b/>
          <w:sz w:val="24"/>
          <w:szCs w:val="24"/>
          <w:u w:val="single"/>
        </w:rPr>
        <w:lastRenderedPageBreak/>
        <w:t>щодо цінних паперів укладений на фондовій</w:t>
      </w:r>
      <w:r w:rsidRPr="00811D0F">
        <w:rPr>
          <w:rFonts w:ascii="Times New Roman" w:hAnsi="Times New Roman"/>
          <w:b/>
          <w:sz w:val="24"/>
          <w:szCs w:val="24"/>
          <w:u w:val="single"/>
        </w:rPr>
        <w:tab/>
        <w:t xml:space="preserve"> біржі без дотримання принципу «поставка проти оплати»</w:t>
      </w:r>
    </w:p>
    <w:p w:rsidR="006144AA" w:rsidRPr="00811D0F" w:rsidRDefault="006144AA" w:rsidP="00811D0F">
      <w:pPr>
        <w:spacing w:after="0" w:line="240" w:lineRule="auto"/>
        <w:ind w:firstLine="709"/>
        <w:rPr>
          <w:sz w:val="24"/>
          <w:szCs w:val="24"/>
        </w:rPr>
      </w:pPr>
    </w:p>
    <w:p w:rsidR="006144AA" w:rsidRPr="00811D0F" w:rsidRDefault="006144AA" w:rsidP="00811D0F">
      <w:pPr>
        <w:spacing w:after="0" w:line="240" w:lineRule="auto"/>
        <w:ind w:firstLine="709"/>
        <w:jc w:val="both"/>
        <w:rPr>
          <w:rFonts w:ascii="Times New Roman" w:hAnsi="Times New Roman" w:cs="Times New Roman"/>
          <w:sz w:val="24"/>
          <w:szCs w:val="24"/>
        </w:rPr>
      </w:pPr>
      <w:r w:rsidRPr="00811D0F">
        <w:rPr>
          <w:rFonts w:ascii="Times New Roman" w:hAnsi="Times New Roman" w:cs="Times New Roman"/>
          <w:sz w:val="24"/>
          <w:szCs w:val="24"/>
        </w:rPr>
        <w:t>Відповідно до статті 6 Закону України «Про депозитарну систему України» в</w:t>
      </w:r>
      <w:r w:rsidRPr="00811D0F">
        <w:rPr>
          <w:rFonts w:ascii="Times New Roman" w:hAnsi="Times New Roman"/>
          <w:sz w:val="24"/>
          <w:szCs w:val="24"/>
        </w:rPr>
        <w:t>несення змін до системи депозитарного обліку стосовно цінних паперів конкретного власника здійснюється депозитарними установами, в установленому Комісією порядку на підставі, зокрема:</w:t>
      </w: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u w:val="single"/>
        </w:rPr>
        <w:t>інформації, що подається Центральним депозитарієм</w:t>
      </w:r>
      <w:r w:rsidRPr="00811D0F">
        <w:rPr>
          <w:rFonts w:ascii="Times New Roman" w:hAnsi="Times New Roman"/>
          <w:sz w:val="24"/>
          <w:szCs w:val="24"/>
        </w:rPr>
        <w:t xml:space="preserve">, </w:t>
      </w:r>
      <w:r w:rsidRPr="00811D0F">
        <w:rPr>
          <w:rFonts w:ascii="Times New Roman" w:hAnsi="Times New Roman"/>
          <w:sz w:val="24"/>
          <w:szCs w:val="24"/>
          <w:u w:val="single"/>
        </w:rPr>
        <w:t xml:space="preserve">у разі вчинення правочину щодо цінних паперів на фондовій біржі </w:t>
      </w:r>
      <w:r w:rsidRPr="00811D0F">
        <w:rPr>
          <w:rFonts w:ascii="Times New Roman" w:hAnsi="Times New Roman"/>
          <w:sz w:val="24"/>
          <w:szCs w:val="24"/>
        </w:rPr>
        <w:t>щодо цінних паперів, облік яких відповідно до компетенції, встановленої цим Законом, веде Центральний депозитарій;</w:t>
      </w: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u w:val="single"/>
        </w:rPr>
        <w:t>інформації, що подається Національним банком України, у разі вчинення правочину на фондовій біржі щодо цінних паперів</w:t>
      </w:r>
      <w:r w:rsidRPr="00811D0F">
        <w:rPr>
          <w:rFonts w:ascii="Times New Roman" w:hAnsi="Times New Roman"/>
          <w:sz w:val="24"/>
          <w:szCs w:val="24"/>
        </w:rPr>
        <w:t>, облік яких відповідно до компетенції, встановленої цим Законом, веде Національний банк України.</w:t>
      </w:r>
    </w:p>
    <w:p w:rsidR="006144AA" w:rsidRPr="00811D0F" w:rsidRDefault="006144AA" w:rsidP="00811D0F">
      <w:pPr>
        <w:spacing w:after="0" w:line="240" w:lineRule="auto"/>
        <w:ind w:firstLine="709"/>
        <w:jc w:val="both"/>
        <w:rPr>
          <w:rFonts w:ascii="Times New Roman" w:hAnsi="Times New Roman"/>
          <w:sz w:val="24"/>
          <w:szCs w:val="24"/>
        </w:rPr>
      </w:pPr>
    </w:p>
    <w:p w:rsidR="006144AA" w:rsidRPr="00811D0F" w:rsidRDefault="006144AA" w:rsidP="00811D0F">
      <w:pPr>
        <w:spacing w:after="0" w:line="240" w:lineRule="auto"/>
        <w:ind w:firstLine="709"/>
        <w:jc w:val="both"/>
        <w:rPr>
          <w:rFonts w:ascii="Times New Roman" w:hAnsi="Times New Roman"/>
          <w:sz w:val="24"/>
          <w:szCs w:val="24"/>
        </w:rPr>
      </w:pPr>
      <w:r w:rsidRPr="00811D0F">
        <w:rPr>
          <w:rFonts w:ascii="Times New Roman" w:hAnsi="Times New Roman"/>
          <w:sz w:val="24"/>
          <w:szCs w:val="24"/>
        </w:rPr>
        <w:t xml:space="preserve">Таким чином відповідно до законодавства депозитарна операція за правочином, укладеним на фондовій біржі без дотримання принципу «поставка проти оплати», </w:t>
      </w:r>
      <w:r w:rsidRPr="00811D0F">
        <w:rPr>
          <w:rFonts w:ascii="Times New Roman" w:hAnsi="Times New Roman"/>
          <w:sz w:val="24"/>
          <w:szCs w:val="24"/>
          <w:u w:val="single"/>
        </w:rPr>
        <w:t>є безумовною операцією на рахунку депонента</w:t>
      </w:r>
      <w:r w:rsidRPr="00811D0F">
        <w:rPr>
          <w:rFonts w:ascii="Times New Roman" w:hAnsi="Times New Roman"/>
          <w:sz w:val="24"/>
          <w:szCs w:val="24"/>
        </w:rPr>
        <w:t xml:space="preserve"> депозитарної установи (проводиться без розпорядження депонента).</w:t>
      </w:r>
    </w:p>
    <w:p w:rsidR="006144AA" w:rsidRPr="00811D0F" w:rsidRDefault="006144AA" w:rsidP="00811D0F">
      <w:pPr>
        <w:spacing w:after="0" w:line="240" w:lineRule="auto"/>
        <w:ind w:firstLine="709"/>
        <w:jc w:val="both"/>
        <w:rPr>
          <w:sz w:val="24"/>
          <w:szCs w:val="24"/>
        </w:rPr>
      </w:pPr>
      <w:r w:rsidRPr="00811D0F">
        <w:rPr>
          <w:rFonts w:ascii="Times New Roman" w:hAnsi="Times New Roman"/>
          <w:sz w:val="24"/>
          <w:szCs w:val="24"/>
        </w:rPr>
        <w:t xml:space="preserve">Згідно Регламенту провадження депозитарної діяльності Центральний депозитарієм цінних паперів розрахунки у цінних паперах за правочинами, укладеними на фондовій біржі, </w:t>
      </w:r>
      <w:r w:rsidRPr="00811D0F">
        <w:rPr>
          <w:rFonts w:ascii="Times New Roman" w:hAnsi="Times New Roman"/>
          <w:sz w:val="24"/>
          <w:szCs w:val="24"/>
          <w:u w:val="single"/>
        </w:rPr>
        <w:t>здійснюються в автоматичному режимі</w:t>
      </w:r>
      <w:r w:rsidRPr="00811D0F">
        <w:rPr>
          <w:rFonts w:ascii="Times New Roman" w:hAnsi="Times New Roman"/>
          <w:sz w:val="24"/>
          <w:szCs w:val="24"/>
        </w:rPr>
        <w:t xml:space="preserve">, на підставі інформації про укладені правочини </w:t>
      </w:r>
      <w:r w:rsidRPr="00811D0F">
        <w:rPr>
          <w:rFonts w:ascii="Times New Roman" w:hAnsi="Times New Roman" w:cs="Times New Roman"/>
          <w:sz w:val="24"/>
          <w:szCs w:val="24"/>
        </w:rPr>
        <w:t>(біржові контракти), отриманої Центральним депозитарієм від фондової біржі, Розрахункового центру та/або клірингової установи.</w:t>
      </w:r>
      <w:r w:rsidRPr="00811D0F">
        <w:rPr>
          <w:sz w:val="24"/>
          <w:szCs w:val="24"/>
        </w:rPr>
        <w:t xml:space="preserve"> </w:t>
      </w:r>
    </w:p>
    <w:p w:rsidR="006144AA" w:rsidRPr="00811D0F" w:rsidRDefault="006144AA" w:rsidP="00811D0F">
      <w:pPr>
        <w:spacing w:after="0" w:line="240" w:lineRule="auto"/>
        <w:ind w:firstLine="709"/>
        <w:jc w:val="both"/>
        <w:rPr>
          <w:rFonts w:ascii="Times New Roman" w:hAnsi="Times New Roman" w:cs="Times New Roman"/>
          <w:sz w:val="24"/>
          <w:szCs w:val="24"/>
        </w:rPr>
      </w:pPr>
    </w:p>
    <w:p w:rsidR="00F275A0" w:rsidRPr="00811D0F" w:rsidRDefault="006144AA" w:rsidP="00811D0F">
      <w:pPr>
        <w:spacing w:after="0" w:line="240" w:lineRule="auto"/>
        <w:ind w:firstLine="709"/>
        <w:jc w:val="both"/>
        <w:rPr>
          <w:rFonts w:ascii="Times New Roman" w:hAnsi="Times New Roman" w:cs="Times New Roman"/>
          <w:sz w:val="24"/>
          <w:szCs w:val="24"/>
        </w:rPr>
      </w:pPr>
      <w:r w:rsidRPr="00811D0F">
        <w:rPr>
          <w:rFonts w:ascii="Times New Roman" w:hAnsi="Times New Roman" w:cs="Times New Roman"/>
          <w:sz w:val="24"/>
          <w:szCs w:val="24"/>
        </w:rPr>
        <w:t xml:space="preserve">Таким чином, вважаємо, що у випадку вчинення правочинів щодо цінних паперів на фондовій біржі без дотримання принципу «поставка проти оплати», контроль за виконанням </w:t>
      </w:r>
      <w:r w:rsidRPr="00811D0F">
        <w:rPr>
          <w:rFonts w:ascii="Times New Roman" w:hAnsi="Times New Roman"/>
          <w:sz w:val="24"/>
          <w:szCs w:val="24"/>
        </w:rPr>
        <w:t>підпункту в) пункту 15.2 статті 15 Закону покладається на фондову біржу, на якій укладено відповідний правочин.</w:t>
      </w:r>
    </w:p>
    <w:sectPr w:rsidR="00F275A0" w:rsidRPr="00811D0F" w:rsidSect="00C00A71">
      <w:pgSz w:w="11906" w:h="16838"/>
      <w:pgMar w:top="850"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C0689"/>
    <w:multiLevelType w:val="hybridMultilevel"/>
    <w:tmpl w:val="07B2A3D4"/>
    <w:lvl w:ilvl="0" w:tplc="BDCA8594">
      <w:start w:val="1"/>
      <w:numFmt w:val="decimal"/>
      <w:lvlText w:val="%1."/>
      <w:lvlJc w:val="left"/>
      <w:pPr>
        <w:ind w:left="1743" w:hanging="1035"/>
      </w:pPr>
      <w:rPr>
        <w:b/>
        <w:u w:val="single"/>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469E5D57"/>
    <w:multiLevelType w:val="hybridMultilevel"/>
    <w:tmpl w:val="31E2FF5A"/>
    <w:lvl w:ilvl="0" w:tplc="07F215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53BE678A"/>
    <w:multiLevelType w:val="hybridMultilevel"/>
    <w:tmpl w:val="63807E34"/>
    <w:lvl w:ilvl="0" w:tplc="43928F2E">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604118C"/>
    <w:multiLevelType w:val="hybridMultilevel"/>
    <w:tmpl w:val="E22646F4"/>
    <w:lvl w:ilvl="0" w:tplc="77C8AA4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5D747A73"/>
    <w:multiLevelType w:val="hybridMultilevel"/>
    <w:tmpl w:val="B96E2994"/>
    <w:lvl w:ilvl="0" w:tplc="9D42804E">
      <w:start w:val="1"/>
      <w:numFmt w:val="decimal"/>
      <w:lvlText w:val="%1."/>
      <w:lvlJc w:val="left"/>
      <w:pPr>
        <w:ind w:left="1065" w:hanging="360"/>
      </w:pPr>
      <w:rPr>
        <w:rFonts w:hint="default"/>
        <w:b/>
        <w:u w:val="single"/>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144AA"/>
    <w:rsid w:val="00011464"/>
    <w:rsid w:val="000129AC"/>
    <w:rsid w:val="00014586"/>
    <w:rsid w:val="00083B89"/>
    <w:rsid w:val="000E2238"/>
    <w:rsid w:val="000F34D9"/>
    <w:rsid w:val="00125454"/>
    <w:rsid w:val="001C5338"/>
    <w:rsid w:val="001E4898"/>
    <w:rsid w:val="002C1A0D"/>
    <w:rsid w:val="003908CD"/>
    <w:rsid w:val="004B3247"/>
    <w:rsid w:val="004B742C"/>
    <w:rsid w:val="004F1DB5"/>
    <w:rsid w:val="00500943"/>
    <w:rsid w:val="006144AA"/>
    <w:rsid w:val="00651B99"/>
    <w:rsid w:val="006E36B3"/>
    <w:rsid w:val="0071330C"/>
    <w:rsid w:val="007D7647"/>
    <w:rsid w:val="007F1731"/>
    <w:rsid w:val="00811D0F"/>
    <w:rsid w:val="00904E5E"/>
    <w:rsid w:val="00936D50"/>
    <w:rsid w:val="00956D67"/>
    <w:rsid w:val="009960F3"/>
    <w:rsid w:val="00A531B8"/>
    <w:rsid w:val="00A650E5"/>
    <w:rsid w:val="00AE36B8"/>
    <w:rsid w:val="00B12F78"/>
    <w:rsid w:val="00B723ED"/>
    <w:rsid w:val="00BF06C8"/>
    <w:rsid w:val="00C00A71"/>
    <w:rsid w:val="00C265F0"/>
    <w:rsid w:val="00CA2D6C"/>
    <w:rsid w:val="00CC7CB9"/>
    <w:rsid w:val="00CE5E5B"/>
    <w:rsid w:val="00DD2A7C"/>
    <w:rsid w:val="00DE308F"/>
    <w:rsid w:val="00E26C9C"/>
    <w:rsid w:val="00F33CB7"/>
    <w:rsid w:val="00F351E1"/>
    <w:rsid w:val="00F66AFA"/>
    <w:rsid w:val="00FE4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44AA"/>
    <w:rPr>
      <w:color w:val="0000FF"/>
      <w:u w:val="single"/>
    </w:rPr>
  </w:style>
  <w:style w:type="paragraph" w:styleId="a4">
    <w:name w:val="Normal (Web)"/>
    <w:basedOn w:val="a"/>
    <w:uiPriority w:val="99"/>
    <w:semiHidden/>
    <w:unhideWhenUsed/>
    <w:rsid w:val="006144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ort">
    <w:name w:val="short"/>
    <w:basedOn w:val="a"/>
    <w:uiPriority w:val="99"/>
    <w:semiHidden/>
    <w:rsid w:val="006144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6144AA"/>
    <w:rPr>
      <w:b/>
      <w:bCs/>
    </w:rPr>
  </w:style>
  <w:style w:type="paragraph" w:styleId="a6">
    <w:name w:val="List Paragraph"/>
    <w:basedOn w:val="a"/>
    <w:uiPriority w:val="34"/>
    <w:qFormat/>
    <w:rsid w:val="00614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d.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5178-17/paran25" TargetMode="External"/><Relationship Id="rId4" Type="http://schemas.openxmlformats.org/officeDocument/2006/relationships/settings" Target="settings.xml"/><Relationship Id="rId9" Type="http://schemas.openxmlformats.org/officeDocument/2006/relationships/hyperlink" Target="http://zakon3.rada.gov.ua/laws/show/1636-v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1259</Words>
  <Characters>7182</Characters>
  <Application>Microsoft Office Word</Application>
  <DocSecurity>0</DocSecurity>
  <Lines>59</Lines>
  <Paragraphs>16</Paragraphs>
  <ScaleCrop>false</ScaleCrop>
  <Company>Grizli777</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Гончарук Наталья</dc:creator>
  <cp:lastModifiedBy>Довбыш Дмитрий</cp:lastModifiedBy>
  <cp:revision>55</cp:revision>
  <cp:lastPrinted>2014-09-30T09:16:00Z</cp:lastPrinted>
  <dcterms:created xsi:type="dcterms:W3CDTF">2014-09-30T08:20:00Z</dcterms:created>
  <dcterms:modified xsi:type="dcterms:W3CDTF">2014-09-30T10:42:00Z</dcterms:modified>
</cp:coreProperties>
</file>