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DD" w:rsidRDefault="00A401AA">
      <w:pPr>
        <w:pStyle w:val="a3"/>
        <w:jc w:val="center"/>
      </w:pPr>
      <w:r>
        <w:rPr>
          <w:noProof/>
        </w:rPr>
        <w:drawing>
          <wp:inline distT="0" distB="0" distL="0" distR="0">
            <wp:extent cx="666750" cy="914400"/>
            <wp:effectExtent l="0" t="0" r="0" b="0"/>
            <wp:docPr id="1" name="Рисунок 1" descr="C:\Users\e.lapshova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lapshova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DD" w:rsidRDefault="00A401AA">
      <w:pPr>
        <w:pStyle w:val="a3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НАЦІОНАЛЬНИЙ БАНК УКРАЇНИ</w:t>
      </w:r>
    </w:p>
    <w:p w:rsidR="003B3ADD" w:rsidRDefault="00A401AA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ЛИСТ</w:t>
      </w:r>
    </w:p>
    <w:p w:rsidR="003B3ADD" w:rsidRDefault="00A401AA">
      <w:pPr>
        <w:pStyle w:val="a3"/>
        <w:jc w:val="center"/>
      </w:pPr>
      <w:r>
        <w:rPr>
          <w:b/>
          <w:bCs/>
        </w:rPr>
        <w:t>від 24.01.2014 р. N 11-116/3159</w:t>
      </w:r>
    </w:p>
    <w:tbl>
      <w:tblPr>
        <w:tblW w:w="45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  <w:gridCol w:w="4404"/>
      </w:tblGrid>
      <w:tr w:rsidR="003B3ADD">
        <w:trPr>
          <w:tblCellSpacing w:w="22" w:type="dxa"/>
          <w:jc w:val="center"/>
        </w:trPr>
        <w:tc>
          <w:tcPr>
            <w:tcW w:w="2500" w:type="pct"/>
            <w:hideMark/>
          </w:tcPr>
          <w:p w:rsidR="003B3ADD" w:rsidRDefault="00A401AA">
            <w:pPr>
              <w:pStyle w:val="a3"/>
            </w:pPr>
            <w:r>
              <w:t>Генеральний департамент регулювання грошового обігу</w:t>
            </w:r>
          </w:p>
        </w:tc>
        <w:tc>
          <w:tcPr>
            <w:tcW w:w="2500" w:type="pct"/>
            <w:hideMark/>
          </w:tcPr>
          <w:p w:rsidR="003B3ADD" w:rsidRDefault="00A401AA">
            <w:pPr>
              <w:pStyle w:val="a3"/>
            </w:pPr>
            <w:r>
              <w:t>Територіальним управлінням, структурним одиницям Національного банку України, банкам України та їх філіям, Незалежній асоціації банків України, Асоціації українських банків</w:t>
            </w:r>
          </w:p>
        </w:tc>
      </w:tr>
    </w:tbl>
    <w:p w:rsidR="003B3ADD" w:rsidRDefault="00A401AA">
      <w:pPr>
        <w:pStyle w:val="a3"/>
        <w:jc w:val="center"/>
      </w:pPr>
      <w:r>
        <w:br w:type="textWrapping" w:clear="all"/>
      </w:r>
    </w:p>
    <w:p w:rsidR="003B3ADD" w:rsidRDefault="00A401AA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Роз'яснення з питань застосування нормативно-правових актів Національного банку України щодо обмеження готівкових розрахунків</w:t>
      </w:r>
    </w:p>
    <w:p w:rsidR="003B3ADD" w:rsidRDefault="00A401AA">
      <w:pPr>
        <w:pStyle w:val="a3"/>
        <w:jc w:val="both"/>
      </w:pPr>
      <w:r>
        <w:t xml:space="preserve">У зв'язку із запитами, що надходять до Національного банку України щодо надання роз'яснень стосовно застосування окремих положень </w:t>
      </w:r>
      <w:r>
        <w:rPr>
          <w:color w:val="0000FF"/>
        </w:rPr>
        <w:t>постанови Правління Національного банку України "Про встановлення граничної суми розрахунків готівкою" від 06.06.2013 N 210</w:t>
      </w:r>
      <w:r>
        <w:t xml:space="preserve"> (далі - Постанова N 210) та Положення про ведення касових операцій у національній валюті в Україні, затвердженого </w:t>
      </w:r>
      <w:r>
        <w:rPr>
          <w:color w:val="0000FF"/>
        </w:rPr>
        <w:t>постановою Правління Національного банку України від 15.12.2004 N 637</w:t>
      </w:r>
      <w:r>
        <w:t>, зі змінами (далі - Положення N 637), Національний банк України повідомляє таке.</w:t>
      </w:r>
    </w:p>
    <w:p w:rsidR="003B3ADD" w:rsidRDefault="00A401AA">
      <w:pPr>
        <w:pStyle w:val="a3"/>
        <w:jc w:val="both"/>
      </w:pPr>
      <w:r>
        <w:t>1.</w:t>
      </w:r>
      <w:r>
        <w:rPr>
          <w:b/>
          <w:bCs/>
        </w:rPr>
        <w:t xml:space="preserve"> </w:t>
      </w:r>
      <w:r>
        <w:t>Вимоги щодо обмеження</w:t>
      </w:r>
      <w:r>
        <w:rPr>
          <w:b/>
          <w:bCs/>
        </w:rPr>
        <w:t xml:space="preserve"> </w:t>
      </w:r>
      <w:r>
        <w:t xml:space="preserve">готівкових розрахунків фізичної особи з підприємством (підприємцем), установлені </w:t>
      </w:r>
      <w:r>
        <w:rPr>
          <w:color w:val="0000FF"/>
        </w:rPr>
        <w:t>пунктом 1 Постанови N 210</w:t>
      </w:r>
      <w:r>
        <w:t xml:space="preserve"> та </w:t>
      </w:r>
      <w:r>
        <w:rPr>
          <w:color w:val="0000FF"/>
        </w:rPr>
        <w:t>пунктом 2.3 глави 2 Положення N 637</w:t>
      </w:r>
      <w:r>
        <w:t>, стосуються розрахунків як фізичної особи - платника з підприємством (підприємцем) - отримувачем, так і розрахунків підприємства (підприємця) - платника з фізичною особою - отримувачем.</w:t>
      </w:r>
    </w:p>
    <w:p w:rsidR="003B3ADD" w:rsidRDefault="00A401AA">
      <w:pPr>
        <w:pStyle w:val="a3"/>
        <w:jc w:val="both"/>
      </w:pPr>
      <w:r>
        <w:t>2.</w:t>
      </w:r>
      <w:r>
        <w:rPr>
          <w:b/>
          <w:bCs/>
        </w:rPr>
        <w:t xml:space="preserve"> </w:t>
      </w:r>
      <w:r>
        <w:t>Вимоги щодо обмеження</w:t>
      </w:r>
      <w:r>
        <w:rPr>
          <w:b/>
          <w:bCs/>
        </w:rPr>
        <w:t xml:space="preserve"> </w:t>
      </w:r>
      <w:r>
        <w:t xml:space="preserve">готівкових розрахунків фізичної особи з підприємством (підприємцем), установлені </w:t>
      </w:r>
      <w:r>
        <w:rPr>
          <w:color w:val="0000FF"/>
        </w:rPr>
        <w:t>пунктом 1 Постанови N 210</w:t>
      </w:r>
      <w:r>
        <w:t xml:space="preserve"> та </w:t>
      </w:r>
      <w:r>
        <w:rPr>
          <w:color w:val="0000FF"/>
        </w:rPr>
        <w:t>пунктом 2.3 глави 2 Положення N 637</w:t>
      </w:r>
      <w:r>
        <w:t>, стосуються розрахунків за правочинами, предметом яких є будь-які матеріальні та нематеріальні блага, які можуть бути оцінені в грошовій формі, у тому числі розрахунків за договорами, пов'язаними з корпоративними правами, наданням чи поверненням позики, виплатою неустойки.</w:t>
      </w:r>
    </w:p>
    <w:p w:rsidR="003B3ADD" w:rsidRDefault="00A401AA">
      <w:pPr>
        <w:pStyle w:val="a3"/>
        <w:jc w:val="both"/>
      </w:pPr>
      <w:r>
        <w:t>3.</w:t>
      </w:r>
      <w:r>
        <w:rPr>
          <w:b/>
          <w:bCs/>
        </w:rPr>
        <w:t xml:space="preserve"> </w:t>
      </w:r>
      <w:r>
        <w:t xml:space="preserve">Відповідно до вимог, установлених </w:t>
      </w:r>
      <w:r>
        <w:rPr>
          <w:color w:val="0000FF"/>
        </w:rPr>
        <w:t>пунктом 1 Постанови N 210</w:t>
      </w:r>
      <w:r>
        <w:t xml:space="preserve"> та </w:t>
      </w:r>
      <w:r>
        <w:rPr>
          <w:color w:val="0000FF"/>
        </w:rPr>
        <w:t>пунктом 2.3 глави 2 Положення N 637</w:t>
      </w:r>
      <w:r>
        <w:t>, обмежуються готівкові розрахунки між підприємством (підприємцем) та фізичною особою, що здійснюються протягом одного дня. Таким чином, сплата за договором, загальна сума за яким перевищує 150000 гривень, у різні дні частками, кожна з яких не перевищує встановленої суми обмеження, не суперечить законодавству.</w:t>
      </w:r>
    </w:p>
    <w:p w:rsidR="003B3ADD" w:rsidRDefault="00A401AA">
      <w:pPr>
        <w:pStyle w:val="a3"/>
        <w:jc w:val="both"/>
      </w:pPr>
      <w:r>
        <w:t xml:space="preserve">Однак звертаємо увагу, що </w:t>
      </w:r>
      <w:r>
        <w:rPr>
          <w:color w:val="0000FF"/>
        </w:rPr>
        <w:t xml:space="preserve">пунктом 2.1 глави 2 Положення N 637 </w:t>
      </w:r>
      <w:r>
        <w:t xml:space="preserve">передбачено, що підприємства (підприємці) мають здійснювати розрахунки за своїми грошовими зобов'язаннями, що виникають у господарських відносинах, </w:t>
      </w:r>
      <w:proofErr w:type="spellStart"/>
      <w:r>
        <w:t>пріоритетно</w:t>
      </w:r>
      <w:proofErr w:type="spellEnd"/>
      <w:r>
        <w:t xml:space="preserve"> в безготівковій формі.</w:t>
      </w:r>
    </w:p>
    <w:p w:rsidR="003B3ADD" w:rsidRDefault="00A401AA">
      <w:pPr>
        <w:pStyle w:val="a3"/>
        <w:jc w:val="both"/>
      </w:pPr>
      <w:r>
        <w:t xml:space="preserve">4. Ураховуючи вимоги </w:t>
      </w:r>
      <w:r>
        <w:rPr>
          <w:color w:val="0000FF"/>
        </w:rPr>
        <w:t>Постанови N 210</w:t>
      </w:r>
      <w:r>
        <w:t xml:space="preserve"> та </w:t>
      </w:r>
      <w:r>
        <w:rPr>
          <w:color w:val="0000FF"/>
        </w:rPr>
        <w:t>Положення N 637</w:t>
      </w:r>
      <w:r>
        <w:t xml:space="preserve"> фізичні особи для здійснення розрахунків з фізичними особами за договорами купівлі-продажу, які підлягають нотаріальному посвідченню, на суму більше 150000 гривень, а також з підприємствами (підприємцями) за товари (роботи, послуги) на суму більше 150000 гривень мають право внести кошти готівкою до банків або небанківських фінансових установ, які в установленому законодавством порядку отримали ліцензію на переказ коштів без відкриття рахунку, для подальшого їх зарахування на рахунки отримувачів.</w:t>
      </w:r>
    </w:p>
    <w:p w:rsidR="003B3ADD" w:rsidRDefault="00A401AA">
      <w:pPr>
        <w:pStyle w:val="a3"/>
        <w:jc w:val="both"/>
      </w:pPr>
      <w:r>
        <w:t xml:space="preserve">При цьому звертаємо увагу на особливості розрахунків між фізичними особами - резидентами та фізичними особами - нерезидентами. У разі здійснення розрахунків між фізичними особами - резидентами та фізичними особами - нерезидентами за договорами купівлі-продажу майна, що не є об'єктом іноземного інвестування в Україну, банкам необхідно пропонувати клієнтам для здійснення таких операцій використовувати окремий поточний рахунок нотаріуса. Так, нотаріусам для вчинення нотаріальних дій з прийняття у депозит грошової суми відкриваються окремі поточні рахунки у порядку, визначеному пунктом 4.5 глави 4 Інструкції про порядок відкриття, використання і закриття рахунків у національній та іноземній валютах (далі - Інструкція N 492), затвердженої </w:t>
      </w:r>
      <w:r>
        <w:rPr>
          <w:color w:val="0000FF"/>
        </w:rPr>
        <w:t>постановою Правління Національного банку України від 12.11.2003 N 492</w:t>
      </w:r>
      <w:r>
        <w:t xml:space="preserve"> (зі змінами). Порядок використання коштів за таким рахунком визначений </w:t>
      </w:r>
      <w:r>
        <w:rPr>
          <w:color w:val="0000FF"/>
        </w:rPr>
        <w:t>пунктом 4.6 глави 4 Інструкції N 492</w:t>
      </w:r>
      <w:r>
        <w:t>.</w:t>
      </w:r>
    </w:p>
    <w:p w:rsidR="003B3ADD" w:rsidRDefault="00A401AA">
      <w:pPr>
        <w:pStyle w:val="a3"/>
        <w:jc w:val="both"/>
      </w:pPr>
      <w:r>
        <w:t xml:space="preserve">5. Вимоги, установлені </w:t>
      </w:r>
      <w:r>
        <w:rPr>
          <w:color w:val="0000FF"/>
        </w:rPr>
        <w:t>главою 2 Положення N 637</w:t>
      </w:r>
      <w:r>
        <w:t xml:space="preserve"> щодо проведення готівкових розрахунків, не поширюються на банки та територіальні управління Національного банку України під час проведення розрахунків за реалізовані населенню / здані населенням дорогоцінні та банківські метали і монети.</w:t>
      </w:r>
    </w:p>
    <w:p w:rsidR="003B3ADD" w:rsidRDefault="00A401AA">
      <w:pPr>
        <w:pStyle w:val="a3"/>
        <w:jc w:val="both"/>
      </w:pPr>
      <w:r>
        <w:t xml:space="preserve">Якщо банк здійснює розрахунки готівкою, пов'язані із забезпеченням власних виробничих (господарських) потреб, то на такі розрахунки банку поширюються обмеження, установлені </w:t>
      </w:r>
      <w:r>
        <w:rPr>
          <w:color w:val="0000FF"/>
        </w:rPr>
        <w:t>пунктом 1 Постанови N 210</w:t>
      </w:r>
      <w:r>
        <w:t>.</w:t>
      </w:r>
    </w:p>
    <w:p w:rsidR="003B3ADD" w:rsidRDefault="00A401AA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3B3ADD">
        <w:trPr>
          <w:tblCellSpacing w:w="22" w:type="dxa"/>
        </w:trPr>
        <w:tc>
          <w:tcPr>
            <w:tcW w:w="2500" w:type="pct"/>
            <w:hideMark/>
          </w:tcPr>
          <w:p w:rsidR="003B3ADD" w:rsidRDefault="00A401AA">
            <w:pPr>
              <w:pStyle w:val="a3"/>
              <w:jc w:val="center"/>
            </w:pPr>
            <w:r>
              <w:rPr>
                <w:b/>
                <w:bCs/>
              </w:rPr>
              <w:t>Заступник Голови</w:t>
            </w:r>
            <w:r>
              <w:br/>
            </w:r>
            <w:r>
              <w:rPr>
                <w:b/>
                <w:bCs/>
              </w:rPr>
              <w:t>Національного банку України</w:t>
            </w:r>
          </w:p>
        </w:tc>
        <w:tc>
          <w:tcPr>
            <w:tcW w:w="2500" w:type="pct"/>
            <w:vAlign w:val="bottom"/>
            <w:hideMark/>
          </w:tcPr>
          <w:p w:rsidR="003B3ADD" w:rsidRDefault="00A401AA">
            <w:pPr>
              <w:pStyle w:val="a3"/>
              <w:jc w:val="center"/>
            </w:pPr>
            <w:r>
              <w:rPr>
                <w:b/>
                <w:bCs/>
              </w:rPr>
              <w:t xml:space="preserve">В. І. </w:t>
            </w:r>
            <w:proofErr w:type="spellStart"/>
            <w:r>
              <w:rPr>
                <w:b/>
                <w:bCs/>
              </w:rPr>
              <w:t>Ричаківська</w:t>
            </w:r>
            <w:proofErr w:type="spellEnd"/>
          </w:p>
        </w:tc>
      </w:tr>
    </w:tbl>
    <w:p w:rsidR="003B3ADD" w:rsidRDefault="00A401AA">
      <w:pPr>
        <w:pStyle w:val="a3"/>
        <w:jc w:val="both"/>
      </w:pPr>
      <w:r>
        <w:br w:type="textWrapping" w:clear="all"/>
      </w:r>
    </w:p>
    <w:p w:rsidR="003B3ADD" w:rsidRDefault="00A401AA">
      <w:pPr>
        <w:pStyle w:val="a3"/>
        <w:jc w:val="both"/>
      </w:pPr>
      <w:r>
        <w:rPr>
          <w:b/>
          <w:bCs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1185"/>
      </w:tblGrid>
      <w:tr w:rsidR="003B3ADD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3B3ADD" w:rsidRDefault="00A401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© ТОВ "Інформаційно-аналітичний центр "ЛІГА", 2014</w:t>
            </w:r>
            <w:r>
              <w:rPr>
                <w:rFonts w:eastAsia="Times New Roman"/>
              </w:rPr>
              <w:br/>
              <w:t>© ТОВ "ЛІГА ЗАКОН", 2014</w:t>
            </w:r>
          </w:p>
        </w:tc>
        <w:tc>
          <w:tcPr>
            <w:tcW w:w="500" w:type="pct"/>
            <w:vAlign w:val="center"/>
            <w:hideMark/>
          </w:tcPr>
          <w:p w:rsidR="003B3ADD" w:rsidRDefault="00A401A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95325" cy="314325"/>
                  <wp:effectExtent l="0" t="0" r="9525" b="9525"/>
                  <wp:docPr id="2" name="Рисунок 2" descr="C:\Users\e.lapshova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.lapshova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1AA" w:rsidRDefault="00A401AA">
      <w:pPr>
        <w:rPr>
          <w:rFonts w:eastAsia="Times New Roman"/>
        </w:rPr>
      </w:pPr>
    </w:p>
    <w:sectPr w:rsidR="00A40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1C85"/>
    <w:rsid w:val="003B3ADD"/>
    <w:rsid w:val="00565697"/>
    <w:rsid w:val="00851C85"/>
    <w:rsid w:val="00A4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51C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C8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51C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C8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e.lapshova\AppData\Roaming\Liga70\Client\Session\LOGOTYPE.BMP" TargetMode="External"/><Relationship Id="rId5" Type="http://schemas.openxmlformats.org/officeDocument/2006/relationships/image" Target="file:///C:\Users\e.lapshova\AppData\Roaming\Liga70\Client\Session\TSIGN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Лапшова Елена</dc:creator>
  <cp:lastModifiedBy>Лапшова Елена</cp:lastModifiedBy>
  <cp:revision>2</cp:revision>
  <dcterms:created xsi:type="dcterms:W3CDTF">2014-01-27T08:25:00Z</dcterms:created>
  <dcterms:modified xsi:type="dcterms:W3CDTF">2014-01-27T08:25:00Z</dcterms:modified>
</cp:coreProperties>
</file>