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582" w:rsidRDefault="00074582" w:rsidP="00755349">
      <w:pPr>
        <w:jc w:val="center"/>
        <w:rPr>
          <w:b/>
          <w:smallCaps/>
        </w:rPr>
      </w:pPr>
      <w:r w:rsidRPr="00DC599E">
        <w:rPr>
          <w:b/>
          <w:smallCaps/>
        </w:rPr>
        <w:t>Порівняльна таблиця змін</w:t>
      </w:r>
    </w:p>
    <w:p w:rsidR="00755349" w:rsidRPr="00755349" w:rsidRDefault="00755349" w:rsidP="00755349">
      <w:pPr>
        <w:jc w:val="center"/>
        <w:rPr>
          <w:b/>
          <w:small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6"/>
        <w:gridCol w:w="7220"/>
      </w:tblGrid>
      <w:tr w:rsidR="00B62AF2" w:rsidRPr="00DC599E" w:rsidTr="009A40AE">
        <w:trPr>
          <w:jc w:val="center"/>
        </w:trPr>
        <w:tc>
          <w:tcPr>
            <w:tcW w:w="7492" w:type="dxa"/>
            <w:vAlign w:val="center"/>
          </w:tcPr>
          <w:p w:rsidR="00B62AF2" w:rsidRPr="00DC599E" w:rsidRDefault="00B62AF2" w:rsidP="003C1412">
            <w:pPr>
              <w:jc w:val="center"/>
              <w:rPr>
                <w:b/>
                <w:smallCaps/>
              </w:rPr>
            </w:pPr>
            <w:r w:rsidRPr="00DC599E">
              <w:rPr>
                <w:b/>
                <w:smallCaps/>
              </w:rPr>
              <w:t xml:space="preserve">Зміст </w:t>
            </w:r>
            <w:r w:rsidR="003C1412" w:rsidRPr="00DC599E">
              <w:rPr>
                <w:b/>
                <w:smallCaps/>
              </w:rPr>
              <w:t>документу</w:t>
            </w:r>
            <w:r w:rsidRPr="00DC599E">
              <w:rPr>
                <w:b/>
                <w:smallCaps/>
              </w:rPr>
              <w:t xml:space="preserve"> чинної редакції</w:t>
            </w:r>
          </w:p>
        </w:tc>
        <w:tc>
          <w:tcPr>
            <w:tcW w:w="7294" w:type="dxa"/>
            <w:vAlign w:val="center"/>
          </w:tcPr>
          <w:p w:rsidR="00B62AF2" w:rsidRPr="00DC599E" w:rsidRDefault="003C1412" w:rsidP="003C1412">
            <w:pPr>
              <w:jc w:val="center"/>
              <w:rPr>
                <w:b/>
                <w:smallCaps/>
              </w:rPr>
            </w:pPr>
            <w:r w:rsidRPr="00DC599E">
              <w:rPr>
                <w:b/>
                <w:smallCaps/>
              </w:rPr>
              <w:t xml:space="preserve">Зміст відповідного документу </w:t>
            </w:r>
            <w:r w:rsidR="00B62AF2" w:rsidRPr="00DC599E">
              <w:rPr>
                <w:b/>
                <w:smallCaps/>
              </w:rPr>
              <w:t>зі змінами</w:t>
            </w:r>
          </w:p>
        </w:tc>
      </w:tr>
      <w:tr w:rsidR="00B62AF2" w:rsidRPr="00DC599E" w:rsidTr="00AD6150">
        <w:trPr>
          <w:jc w:val="center"/>
        </w:trPr>
        <w:tc>
          <w:tcPr>
            <w:tcW w:w="0" w:type="auto"/>
            <w:gridSpan w:val="2"/>
          </w:tcPr>
          <w:p w:rsidR="00B62AF2" w:rsidRPr="00DC599E" w:rsidRDefault="006E7E4B" w:rsidP="00483ABF">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У Плані рахунків бухгалтерського обліку активів, капіталу, зобов'язань і господарських операцій  підприємств  і  організацій та в </w:t>
            </w:r>
            <w:r w:rsidRPr="00DC599E">
              <w:rPr>
                <w:rFonts w:ascii="Times New Roman" w:hAnsi="Times New Roman" w:cs="Times New Roman"/>
                <w:bCs/>
                <w:color w:val="000000"/>
                <w:sz w:val="24"/>
                <w:szCs w:val="24"/>
                <w:bdr w:val="none" w:sz="0" w:space="0" w:color="auto" w:frame="1"/>
                <w:lang w:val="uk-UA"/>
              </w:rPr>
              <w:t xml:space="preserve">Інструкції про застосування Плану рахунків бухгалтерського обліку активів, капіталу, зобов'язань і господарських операцій підприємств і організацій назву рахунку </w:t>
            </w:r>
            <w:r w:rsidRPr="00DC599E">
              <w:rPr>
                <w:rFonts w:ascii="Times New Roman" w:hAnsi="Times New Roman" w:cs="Times New Roman"/>
                <w:b/>
                <w:bCs/>
                <w:color w:val="000000"/>
                <w:sz w:val="24"/>
                <w:szCs w:val="24"/>
                <w:bdr w:val="none" w:sz="0" w:space="0" w:color="auto" w:frame="1"/>
                <w:lang w:val="uk-UA"/>
              </w:rPr>
              <w:t xml:space="preserve">30 </w:t>
            </w:r>
            <w:r w:rsidR="00483ABF">
              <w:rPr>
                <w:rFonts w:ascii="Times New Roman" w:hAnsi="Times New Roman" w:cs="Times New Roman"/>
                <w:b/>
                <w:bCs/>
                <w:color w:val="000000"/>
                <w:sz w:val="24"/>
                <w:szCs w:val="24"/>
                <w:bdr w:val="none" w:sz="0" w:space="0" w:color="auto" w:frame="1"/>
                <w:lang w:val="uk-UA"/>
              </w:rPr>
              <w:t>«</w:t>
            </w:r>
            <w:r w:rsidRPr="00DC599E">
              <w:rPr>
                <w:rFonts w:ascii="Times New Roman" w:hAnsi="Times New Roman" w:cs="Times New Roman"/>
                <w:b/>
                <w:bCs/>
                <w:color w:val="000000"/>
                <w:sz w:val="24"/>
                <w:szCs w:val="24"/>
                <w:bdr w:val="none" w:sz="0" w:space="0" w:color="auto" w:frame="1"/>
                <w:lang w:val="uk-UA"/>
              </w:rPr>
              <w:t>Каса</w:t>
            </w:r>
            <w:r w:rsidR="00483ABF">
              <w:rPr>
                <w:rFonts w:ascii="Times New Roman" w:hAnsi="Times New Roman" w:cs="Times New Roman"/>
                <w:b/>
                <w:bCs/>
                <w:color w:val="000000"/>
                <w:sz w:val="24"/>
                <w:szCs w:val="24"/>
                <w:bdr w:val="none" w:sz="0" w:space="0" w:color="auto" w:frame="1"/>
                <w:lang w:val="uk-UA"/>
              </w:rPr>
              <w:t>»</w:t>
            </w:r>
            <w:r w:rsidRPr="00DC599E">
              <w:rPr>
                <w:rFonts w:ascii="Times New Roman" w:hAnsi="Times New Roman" w:cs="Times New Roman"/>
                <w:bCs/>
                <w:color w:val="000000"/>
                <w:sz w:val="24"/>
                <w:szCs w:val="24"/>
                <w:bdr w:val="none" w:sz="0" w:space="0" w:color="auto" w:frame="1"/>
                <w:lang w:val="uk-UA"/>
              </w:rPr>
              <w:t xml:space="preserve"> і всі кореспонденції рахунків з рахунком </w:t>
            </w:r>
            <w:r w:rsidRPr="00DC599E">
              <w:rPr>
                <w:rFonts w:ascii="Times New Roman" w:hAnsi="Times New Roman" w:cs="Times New Roman"/>
                <w:b/>
                <w:bCs/>
                <w:color w:val="000000"/>
                <w:sz w:val="24"/>
                <w:szCs w:val="24"/>
                <w:bdr w:val="none" w:sz="0" w:space="0" w:color="auto" w:frame="1"/>
                <w:lang w:val="uk-UA"/>
              </w:rPr>
              <w:t xml:space="preserve">30 </w:t>
            </w:r>
            <w:r w:rsidR="00483ABF">
              <w:rPr>
                <w:rFonts w:ascii="Times New Roman" w:hAnsi="Times New Roman" w:cs="Times New Roman"/>
                <w:b/>
                <w:bCs/>
                <w:color w:val="000000"/>
                <w:sz w:val="24"/>
                <w:szCs w:val="24"/>
                <w:bdr w:val="none" w:sz="0" w:space="0" w:color="auto" w:frame="1"/>
                <w:lang w:val="uk-UA"/>
              </w:rPr>
              <w:t>«</w:t>
            </w:r>
            <w:r w:rsidRPr="00DC599E">
              <w:rPr>
                <w:rFonts w:ascii="Times New Roman" w:hAnsi="Times New Roman" w:cs="Times New Roman"/>
                <w:b/>
                <w:bCs/>
                <w:color w:val="000000"/>
                <w:sz w:val="24"/>
                <w:szCs w:val="24"/>
                <w:bdr w:val="none" w:sz="0" w:space="0" w:color="auto" w:frame="1"/>
                <w:lang w:val="uk-UA"/>
              </w:rPr>
              <w:t>Каса</w:t>
            </w:r>
            <w:r w:rsidR="00483ABF">
              <w:rPr>
                <w:rFonts w:ascii="Times New Roman" w:hAnsi="Times New Roman" w:cs="Times New Roman"/>
                <w:b/>
                <w:bCs/>
                <w:color w:val="000000"/>
                <w:sz w:val="24"/>
                <w:szCs w:val="24"/>
                <w:bdr w:val="none" w:sz="0" w:space="0" w:color="auto" w:frame="1"/>
                <w:lang w:val="uk-UA"/>
              </w:rPr>
              <w:t>»</w:t>
            </w:r>
            <w:r w:rsidRPr="00DC599E">
              <w:rPr>
                <w:rFonts w:ascii="Times New Roman" w:hAnsi="Times New Roman" w:cs="Times New Roman"/>
                <w:bCs/>
                <w:color w:val="000000"/>
                <w:sz w:val="24"/>
                <w:szCs w:val="24"/>
                <w:bdr w:val="none" w:sz="0" w:space="0" w:color="auto" w:frame="1"/>
                <w:lang w:val="uk-UA"/>
              </w:rPr>
              <w:t xml:space="preserve"> замінити на рахунок </w:t>
            </w:r>
            <w:r w:rsidRPr="00DC599E">
              <w:rPr>
                <w:rFonts w:ascii="Times New Roman" w:hAnsi="Times New Roman" w:cs="Times New Roman"/>
                <w:b/>
                <w:bCs/>
                <w:color w:val="000000"/>
                <w:sz w:val="24"/>
                <w:szCs w:val="24"/>
                <w:bdr w:val="none" w:sz="0" w:space="0" w:color="auto" w:frame="1"/>
                <w:lang w:val="uk-UA"/>
              </w:rPr>
              <w:t xml:space="preserve">30 </w:t>
            </w:r>
            <w:r w:rsidR="00483ABF">
              <w:rPr>
                <w:rFonts w:ascii="Times New Roman" w:hAnsi="Times New Roman" w:cs="Times New Roman"/>
                <w:b/>
                <w:bCs/>
                <w:color w:val="000000"/>
                <w:sz w:val="24"/>
                <w:szCs w:val="24"/>
                <w:bdr w:val="none" w:sz="0" w:space="0" w:color="auto" w:frame="1"/>
                <w:lang w:val="uk-UA"/>
              </w:rPr>
              <w:t>«</w:t>
            </w:r>
            <w:r w:rsidRPr="00DC599E">
              <w:rPr>
                <w:rFonts w:ascii="Times New Roman" w:hAnsi="Times New Roman" w:cs="Times New Roman"/>
                <w:b/>
                <w:bCs/>
                <w:color w:val="000000"/>
                <w:sz w:val="24"/>
                <w:szCs w:val="24"/>
                <w:bdr w:val="none" w:sz="0" w:space="0" w:color="auto" w:frame="1"/>
                <w:lang w:val="uk-UA"/>
              </w:rPr>
              <w:t>Готівка</w:t>
            </w:r>
            <w:r w:rsidR="00483ABF">
              <w:rPr>
                <w:rFonts w:ascii="Times New Roman" w:hAnsi="Times New Roman" w:cs="Times New Roman"/>
                <w:b/>
                <w:bCs/>
                <w:color w:val="000000"/>
                <w:sz w:val="24"/>
                <w:szCs w:val="24"/>
                <w:bdr w:val="none" w:sz="0" w:space="0" w:color="auto" w:frame="1"/>
                <w:lang w:val="uk-UA"/>
              </w:rPr>
              <w:t>»</w:t>
            </w:r>
          </w:p>
        </w:tc>
      </w:tr>
      <w:tr w:rsidR="00A628DA" w:rsidRPr="00DC599E" w:rsidTr="00AD6150">
        <w:trPr>
          <w:jc w:val="center"/>
        </w:trPr>
        <w:tc>
          <w:tcPr>
            <w:tcW w:w="0" w:type="auto"/>
            <w:gridSpan w:val="2"/>
          </w:tcPr>
          <w:p w:rsidR="00A628DA" w:rsidRPr="00755349" w:rsidRDefault="00755349" w:rsidP="00483ABF">
            <w:pPr>
              <w:jc w:val="center"/>
              <w:rPr>
                <w:b/>
              </w:rPr>
            </w:pPr>
            <w:r w:rsidRPr="00755349">
              <w:rPr>
                <w:b/>
              </w:rPr>
              <w:t>Інструкція  про  застосування  Плану</w:t>
            </w:r>
            <w:r w:rsidR="00483ABF">
              <w:rPr>
                <w:b/>
              </w:rPr>
              <w:t xml:space="preserve"> </w:t>
            </w:r>
            <w:r w:rsidRPr="00755349">
              <w:rPr>
                <w:b/>
              </w:rPr>
              <w:t xml:space="preserve"> рахунків бухгалтерського</w:t>
            </w:r>
            <w:r w:rsidR="00483ABF">
              <w:rPr>
                <w:b/>
              </w:rPr>
              <w:t xml:space="preserve"> </w:t>
            </w:r>
            <w:r w:rsidRPr="00755349">
              <w:rPr>
                <w:b/>
              </w:rPr>
              <w:t xml:space="preserve"> </w:t>
            </w:r>
            <w:r w:rsidR="00483ABF">
              <w:rPr>
                <w:b/>
              </w:rPr>
              <w:t>обліку активів, капіталу, зобов'язань</w:t>
            </w:r>
            <w:r w:rsidRPr="00755349">
              <w:rPr>
                <w:b/>
              </w:rPr>
              <w:t xml:space="preserve"> і господарських операцій підприємств і  організацій, </w:t>
            </w:r>
            <w:r>
              <w:rPr>
                <w:b/>
              </w:rPr>
              <w:t>затверджено</w:t>
            </w:r>
            <w:r w:rsidRPr="00755349">
              <w:rPr>
                <w:b/>
              </w:rPr>
              <w:t xml:space="preserve"> наказом Міністерства  фінансів України </w:t>
            </w:r>
            <w:r w:rsidR="00483ABF">
              <w:rPr>
                <w:b/>
              </w:rPr>
              <w:t>від 30 листопада 1999 року №</w:t>
            </w:r>
            <w:r w:rsidRPr="00755349">
              <w:rPr>
                <w:b/>
              </w:rPr>
              <w:t xml:space="preserve">  291</w:t>
            </w:r>
            <w:r w:rsidR="00483ABF">
              <w:rPr>
                <w:b/>
              </w:rPr>
              <w:t xml:space="preserve">, </w:t>
            </w:r>
            <w:r>
              <w:rPr>
                <w:b/>
              </w:rPr>
              <w:t>зареєстровано</w:t>
            </w:r>
            <w:r w:rsidR="00483ABF">
              <w:rPr>
                <w:b/>
              </w:rPr>
              <w:t xml:space="preserve"> у Міністерстві юстиції</w:t>
            </w:r>
            <w:r w:rsidRPr="00755349">
              <w:rPr>
                <w:b/>
              </w:rPr>
              <w:t xml:space="preserve"> України 21 грудня 1999 року за </w:t>
            </w:r>
            <w:r w:rsidR="00483ABF">
              <w:rPr>
                <w:b/>
              </w:rPr>
              <w:t>№</w:t>
            </w:r>
            <w:r w:rsidRPr="00755349">
              <w:rPr>
                <w:b/>
              </w:rPr>
              <w:t xml:space="preserve"> 893/4186 (із змінами):</w:t>
            </w:r>
          </w:p>
        </w:tc>
      </w:tr>
      <w:tr w:rsidR="00B62AF2" w:rsidRPr="00DC599E" w:rsidTr="003D2387">
        <w:trPr>
          <w:trHeight w:val="331"/>
          <w:jc w:val="center"/>
        </w:trPr>
        <w:tc>
          <w:tcPr>
            <w:tcW w:w="0" w:type="auto"/>
            <w:gridSpan w:val="2"/>
          </w:tcPr>
          <w:p w:rsidR="00B62AF2" w:rsidRPr="00DC599E" w:rsidRDefault="003D2387" w:rsidP="00483ABF">
            <w:pPr>
              <w:pStyle w:val="HTML"/>
              <w:shd w:val="clear" w:color="auto" w:fill="FFFFFF"/>
              <w:jc w:val="center"/>
              <w:textAlignment w:val="baseline"/>
              <w:rPr>
                <w:rFonts w:ascii="Times New Roman" w:hAnsi="Times New Roman" w:cs="Times New Roman"/>
                <w:b/>
                <w:color w:val="000000"/>
                <w:sz w:val="24"/>
                <w:szCs w:val="24"/>
                <w:lang w:val="uk-UA"/>
              </w:rPr>
            </w:pPr>
            <w:r w:rsidRPr="00DC599E">
              <w:rPr>
                <w:rFonts w:ascii="Times New Roman" w:hAnsi="Times New Roman" w:cs="Times New Roman"/>
                <w:b/>
                <w:color w:val="000000"/>
                <w:sz w:val="24"/>
                <w:szCs w:val="24"/>
                <w:lang w:val="uk-UA"/>
              </w:rPr>
              <w:t xml:space="preserve">Рахунок 11 </w:t>
            </w:r>
            <w:r w:rsidR="00483ABF">
              <w:rPr>
                <w:rFonts w:ascii="Times New Roman" w:hAnsi="Times New Roman" w:cs="Times New Roman"/>
                <w:b/>
                <w:color w:val="000000"/>
                <w:sz w:val="24"/>
                <w:szCs w:val="24"/>
                <w:lang w:val="uk-UA"/>
              </w:rPr>
              <w:t>«</w:t>
            </w:r>
            <w:r w:rsidRPr="00DC599E">
              <w:rPr>
                <w:rFonts w:ascii="Times New Roman" w:hAnsi="Times New Roman" w:cs="Times New Roman"/>
                <w:b/>
                <w:color w:val="000000"/>
                <w:sz w:val="24"/>
                <w:szCs w:val="24"/>
                <w:lang w:val="uk-UA"/>
              </w:rPr>
              <w:t>Інші необоротні матеріальні активи</w:t>
            </w:r>
            <w:r w:rsidR="00483ABF">
              <w:rPr>
                <w:rFonts w:ascii="Times New Roman" w:hAnsi="Times New Roman" w:cs="Times New Roman"/>
                <w:b/>
                <w:color w:val="000000"/>
                <w:sz w:val="24"/>
                <w:szCs w:val="24"/>
                <w:lang w:val="uk-UA"/>
              </w:rPr>
              <w:t>»</w:t>
            </w:r>
            <w:r w:rsidRPr="00DC599E">
              <w:rPr>
                <w:rFonts w:ascii="Times New Roman" w:hAnsi="Times New Roman" w:cs="Times New Roman"/>
                <w:b/>
                <w:color w:val="000000"/>
                <w:sz w:val="24"/>
                <w:szCs w:val="24"/>
                <w:lang w:val="uk-UA"/>
              </w:rPr>
              <w:t xml:space="preserve"> </w:t>
            </w:r>
          </w:p>
        </w:tc>
      </w:tr>
      <w:tr w:rsidR="00B62AF2" w:rsidRPr="00DC599E" w:rsidTr="009A40AE">
        <w:trPr>
          <w:jc w:val="center"/>
        </w:trPr>
        <w:tc>
          <w:tcPr>
            <w:tcW w:w="7492" w:type="dxa"/>
          </w:tcPr>
          <w:p w:rsidR="00B62AF2" w:rsidRPr="00781828" w:rsidRDefault="003D2387" w:rsidP="00007AF6">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На субрахунку 112 </w:t>
            </w:r>
            <w:r w:rsidR="00007AF6">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Малоцінні необоротні матеріальні акт</w:t>
            </w:r>
            <w:r w:rsidR="00483ABF">
              <w:rPr>
                <w:rFonts w:ascii="Times New Roman" w:hAnsi="Times New Roman" w:cs="Times New Roman"/>
                <w:color w:val="000000"/>
                <w:sz w:val="24"/>
                <w:szCs w:val="24"/>
                <w:lang w:val="uk-UA"/>
              </w:rPr>
              <w:t>иви</w:t>
            </w:r>
            <w:r w:rsidR="00007AF6">
              <w:rPr>
                <w:rFonts w:ascii="Times New Roman" w:hAnsi="Times New Roman" w:cs="Times New Roman"/>
                <w:color w:val="000000"/>
                <w:sz w:val="24"/>
                <w:szCs w:val="24"/>
                <w:lang w:val="uk-UA"/>
              </w:rPr>
              <w:t>»</w:t>
            </w:r>
            <w:r w:rsidR="00483ABF">
              <w:rPr>
                <w:rFonts w:ascii="Times New Roman" w:hAnsi="Times New Roman" w:cs="Times New Roman"/>
                <w:color w:val="000000"/>
                <w:sz w:val="24"/>
                <w:szCs w:val="24"/>
                <w:lang w:val="uk-UA"/>
              </w:rPr>
              <w:t xml:space="preserve"> відображається вартість </w:t>
            </w:r>
            <w:r w:rsidRPr="00DC599E">
              <w:rPr>
                <w:rFonts w:ascii="Times New Roman" w:hAnsi="Times New Roman" w:cs="Times New Roman"/>
                <w:color w:val="000000"/>
                <w:sz w:val="24"/>
                <w:szCs w:val="24"/>
                <w:lang w:val="uk-UA"/>
              </w:rPr>
              <w:t>предметів, строк корисного використан</w:t>
            </w:r>
            <w:r w:rsidR="00483ABF">
              <w:rPr>
                <w:rFonts w:ascii="Times New Roman" w:hAnsi="Times New Roman" w:cs="Times New Roman"/>
                <w:color w:val="000000"/>
                <w:sz w:val="24"/>
                <w:szCs w:val="24"/>
                <w:lang w:val="uk-UA"/>
              </w:rPr>
              <w:t>ня яких більше одного року, зокрема спеціальні інструменти і спеціальні пристосування,</w:t>
            </w:r>
            <w:r w:rsidRPr="00DC599E">
              <w:rPr>
                <w:rFonts w:ascii="Times New Roman" w:hAnsi="Times New Roman" w:cs="Times New Roman"/>
                <w:color w:val="000000"/>
                <w:sz w:val="24"/>
                <w:szCs w:val="24"/>
                <w:lang w:val="uk-UA"/>
              </w:rPr>
              <w:t xml:space="preserve"> вартість яких погашається </w:t>
            </w:r>
            <w:r w:rsidR="00800A9B" w:rsidRPr="00DC599E">
              <w:rPr>
                <w:rFonts w:ascii="Times New Roman" w:hAnsi="Times New Roman" w:cs="Times New Roman"/>
                <w:color w:val="000000"/>
                <w:sz w:val="24"/>
                <w:szCs w:val="24"/>
                <w:lang w:val="uk-UA"/>
              </w:rPr>
              <w:t>н</w:t>
            </w:r>
            <w:r w:rsidRPr="00DC599E">
              <w:rPr>
                <w:rFonts w:ascii="Times New Roman" w:hAnsi="Times New Roman" w:cs="Times New Roman"/>
                <w:color w:val="000000"/>
                <w:sz w:val="24"/>
                <w:szCs w:val="24"/>
                <w:lang w:val="uk-UA"/>
              </w:rPr>
              <w:t>арахуванням зносу за встановленою підприємством ставкою (нормою) з урахуванням очікуваного способу використання таких об'єктів та інші предмети, які за вартісними ознаками підприємством зараховано до складу малоцінних необоротних матеріальних активів.</w:t>
            </w:r>
          </w:p>
        </w:tc>
        <w:tc>
          <w:tcPr>
            <w:tcW w:w="7294" w:type="dxa"/>
          </w:tcPr>
          <w:p w:rsidR="00B62AF2" w:rsidRPr="00DC599E" w:rsidRDefault="00800A9B" w:rsidP="00007AF6">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На субрахунку 112 </w:t>
            </w:r>
            <w:r w:rsidR="00007AF6">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Мал</w:t>
            </w:r>
            <w:r w:rsidR="00483ABF">
              <w:rPr>
                <w:rFonts w:ascii="Times New Roman" w:hAnsi="Times New Roman" w:cs="Times New Roman"/>
                <w:color w:val="000000"/>
                <w:sz w:val="24"/>
                <w:szCs w:val="24"/>
                <w:lang w:val="uk-UA"/>
              </w:rPr>
              <w:t xml:space="preserve">оцінні необоротні матеріальні </w:t>
            </w:r>
            <w:r w:rsidRPr="00DC599E">
              <w:rPr>
                <w:rFonts w:ascii="Times New Roman" w:hAnsi="Times New Roman" w:cs="Times New Roman"/>
                <w:color w:val="000000"/>
                <w:sz w:val="24"/>
                <w:szCs w:val="24"/>
                <w:lang w:val="uk-UA"/>
              </w:rPr>
              <w:t>активи</w:t>
            </w:r>
            <w:r w:rsidR="00007AF6">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відображається  вартість  предметів,  строк корис</w:t>
            </w:r>
            <w:r w:rsidR="00483ABF">
              <w:rPr>
                <w:rFonts w:ascii="Times New Roman" w:hAnsi="Times New Roman" w:cs="Times New Roman"/>
                <w:color w:val="000000"/>
                <w:sz w:val="24"/>
                <w:szCs w:val="24"/>
                <w:lang w:val="uk-UA"/>
              </w:rPr>
              <w:t xml:space="preserve">ного використання яких  більше одного року, </w:t>
            </w:r>
            <w:r w:rsidRPr="00DC599E">
              <w:rPr>
                <w:rFonts w:ascii="Times New Roman" w:hAnsi="Times New Roman" w:cs="Times New Roman"/>
                <w:color w:val="000000"/>
                <w:sz w:val="24"/>
                <w:szCs w:val="24"/>
                <w:lang w:val="uk-UA"/>
              </w:rPr>
              <w:t xml:space="preserve">зокрема </w:t>
            </w:r>
            <w:r w:rsidRPr="00DC599E">
              <w:rPr>
                <w:rFonts w:ascii="Times New Roman" w:hAnsi="Times New Roman" w:cs="Times New Roman"/>
                <w:b/>
                <w:color w:val="000000"/>
                <w:sz w:val="24"/>
                <w:szCs w:val="24"/>
                <w:lang w:val="uk-UA"/>
              </w:rPr>
              <w:t>вартість сценічно-постановочних предметів</w:t>
            </w:r>
            <w:r w:rsidR="00483ABF">
              <w:rPr>
                <w:rFonts w:ascii="Times New Roman" w:hAnsi="Times New Roman" w:cs="Times New Roman"/>
                <w:color w:val="000000"/>
                <w:sz w:val="24"/>
                <w:szCs w:val="24"/>
                <w:lang w:val="uk-UA"/>
              </w:rPr>
              <w:t>, спеціальні інструменти</w:t>
            </w:r>
            <w:r w:rsidRPr="00DC599E">
              <w:rPr>
                <w:rFonts w:ascii="Times New Roman" w:hAnsi="Times New Roman" w:cs="Times New Roman"/>
                <w:color w:val="000000"/>
                <w:sz w:val="24"/>
                <w:szCs w:val="24"/>
                <w:lang w:val="uk-UA"/>
              </w:rPr>
              <w:t xml:space="preserve"> і спеціальні  при</w:t>
            </w:r>
            <w:r w:rsidR="00483ABF">
              <w:rPr>
                <w:rFonts w:ascii="Times New Roman" w:hAnsi="Times New Roman" w:cs="Times New Roman"/>
                <w:color w:val="000000"/>
                <w:sz w:val="24"/>
                <w:szCs w:val="24"/>
                <w:lang w:val="uk-UA"/>
              </w:rPr>
              <w:t xml:space="preserve">стосування, </w:t>
            </w:r>
            <w:r w:rsidRPr="00DC599E">
              <w:rPr>
                <w:rFonts w:ascii="Times New Roman" w:hAnsi="Times New Roman" w:cs="Times New Roman"/>
                <w:color w:val="000000"/>
                <w:sz w:val="24"/>
                <w:szCs w:val="24"/>
                <w:lang w:val="uk-UA"/>
              </w:rPr>
              <w:t>вартість яких погашається нарахуванням зносу за встановленою підприємством ставкою (нор</w:t>
            </w:r>
            <w:r w:rsidR="00483ABF">
              <w:rPr>
                <w:rFonts w:ascii="Times New Roman" w:hAnsi="Times New Roman" w:cs="Times New Roman"/>
                <w:color w:val="000000"/>
                <w:sz w:val="24"/>
                <w:szCs w:val="24"/>
                <w:lang w:val="uk-UA"/>
              </w:rPr>
              <w:t xml:space="preserve">мою) з урахуванням очікуваного </w:t>
            </w:r>
            <w:r w:rsidRPr="00DC599E">
              <w:rPr>
                <w:rFonts w:ascii="Times New Roman" w:hAnsi="Times New Roman" w:cs="Times New Roman"/>
                <w:color w:val="000000"/>
                <w:sz w:val="24"/>
                <w:szCs w:val="24"/>
                <w:lang w:val="uk-UA"/>
              </w:rPr>
              <w:t>способу використання таких об'є</w:t>
            </w:r>
            <w:r w:rsidR="00483ABF">
              <w:rPr>
                <w:rFonts w:ascii="Times New Roman" w:hAnsi="Times New Roman" w:cs="Times New Roman"/>
                <w:color w:val="000000"/>
                <w:sz w:val="24"/>
                <w:szCs w:val="24"/>
                <w:lang w:val="uk-UA"/>
              </w:rPr>
              <w:t>ктів та інші предмети, які за вартісними ознаками</w:t>
            </w:r>
            <w:r w:rsidRPr="00DC599E">
              <w:rPr>
                <w:rFonts w:ascii="Times New Roman" w:hAnsi="Times New Roman" w:cs="Times New Roman"/>
                <w:color w:val="000000"/>
                <w:sz w:val="24"/>
                <w:szCs w:val="24"/>
                <w:lang w:val="uk-UA"/>
              </w:rPr>
              <w:t xml:space="preserve"> підприємством зараховано до складу малоцінних необоротних матеріальних активів.</w:t>
            </w:r>
          </w:p>
        </w:tc>
      </w:tr>
      <w:tr w:rsidR="00800A9B" w:rsidRPr="00DC599E" w:rsidTr="009A40AE">
        <w:trPr>
          <w:jc w:val="center"/>
        </w:trPr>
        <w:tc>
          <w:tcPr>
            <w:tcW w:w="7492" w:type="dxa"/>
          </w:tcPr>
          <w:p w:rsidR="00800A9B" w:rsidRPr="00DC599E" w:rsidRDefault="00483ABF" w:rsidP="00007AF6">
            <w:pPr>
              <w:pStyle w:val="HTML"/>
              <w:shd w:val="clear" w:color="auto" w:fill="FFFFFF"/>
              <w:jc w:val="both"/>
              <w:textAlignment w:val="baseline"/>
              <w:rPr>
                <w:color w:val="000000"/>
                <w:sz w:val="21"/>
                <w:szCs w:val="21"/>
                <w:lang w:val="uk-UA"/>
              </w:rPr>
            </w:pPr>
            <w:r>
              <w:rPr>
                <w:rFonts w:ascii="Times New Roman" w:hAnsi="Times New Roman" w:cs="Times New Roman"/>
                <w:color w:val="000000"/>
                <w:sz w:val="24"/>
                <w:szCs w:val="24"/>
                <w:lang w:val="uk-UA"/>
              </w:rPr>
              <w:t xml:space="preserve">На субрахунку 117 </w:t>
            </w:r>
            <w:r w:rsidR="00007AF6">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Інші необоротні матеріальні</w:t>
            </w:r>
            <w:r w:rsidR="00800A9B" w:rsidRPr="00DC599E">
              <w:rPr>
                <w:rFonts w:ascii="Times New Roman" w:hAnsi="Times New Roman" w:cs="Times New Roman"/>
                <w:color w:val="000000"/>
                <w:sz w:val="24"/>
                <w:szCs w:val="24"/>
                <w:lang w:val="uk-UA"/>
              </w:rPr>
              <w:t xml:space="preserve"> активи</w:t>
            </w:r>
            <w:r w:rsidR="00007AF6">
              <w:rPr>
                <w:rFonts w:ascii="Times New Roman" w:hAnsi="Times New Roman" w:cs="Times New Roman"/>
                <w:color w:val="000000"/>
                <w:sz w:val="24"/>
                <w:szCs w:val="24"/>
                <w:lang w:val="uk-UA"/>
              </w:rPr>
              <w:t>»</w:t>
            </w:r>
            <w:r w:rsidR="00800A9B" w:rsidRPr="00DC599E">
              <w:rPr>
                <w:rFonts w:ascii="Times New Roman" w:hAnsi="Times New Roman" w:cs="Times New Roman"/>
                <w:color w:val="000000"/>
                <w:sz w:val="24"/>
                <w:szCs w:val="24"/>
                <w:lang w:val="uk-UA"/>
              </w:rPr>
              <w:t xml:space="preserve"> ведеться облік наявності та руху інших необоротних матеріальних активів,  які не знайшли відображення на інших субрахунка</w:t>
            </w:r>
            <w:r>
              <w:rPr>
                <w:rFonts w:ascii="Times New Roman" w:hAnsi="Times New Roman" w:cs="Times New Roman"/>
                <w:color w:val="000000"/>
                <w:sz w:val="24"/>
                <w:szCs w:val="24"/>
                <w:lang w:val="uk-UA"/>
              </w:rPr>
              <w:t xml:space="preserve">х рахунку 11 </w:t>
            </w:r>
            <w:r w:rsidR="00007AF6">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Інші необоротні</w:t>
            </w:r>
            <w:r w:rsidR="00800A9B" w:rsidRPr="00DC599E">
              <w:rPr>
                <w:rFonts w:ascii="Times New Roman" w:hAnsi="Times New Roman" w:cs="Times New Roman"/>
                <w:color w:val="000000"/>
                <w:sz w:val="24"/>
                <w:szCs w:val="24"/>
                <w:lang w:val="uk-UA"/>
              </w:rPr>
              <w:t xml:space="preserve"> матеріальні активи</w:t>
            </w:r>
            <w:r w:rsidR="00007AF6">
              <w:rPr>
                <w:rFonts w:ascii="Times New Roman" w:hAnsi="Times New Roman" w:cs="Times New Roman"/>
                <w:color w:val="000000"/>
                <w:sz w:val="24"/>
                <w:szCs w:val="24"/>
                <w:lang w:val="uk-UA"/>
              </w:rPr>
              <w:t>»</w:t>
            </w:r>
            <w:r w:rsidR="00800A9B" w:rsidRPr="00DC599E">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xml:space="preserve"> На цьому субрахунку, зокрема,</w:t>
            </w:r>
            <w:r w:rsidR="00800A9B" w:rsidRPr="00DC599E">
              <w:rPr>
                <w:rFonts w:ascii="Times New Roman" w:hAnsi="Times New Roman" w:cs="Times New Roman"/>
                <w:color w:val="000000"/>
                <w:sz w:val="24"/>
                <w:szCs w:val="24"/>
                <w:lang w:val="uk-UA"/>
              </w:rPr>
              <w:t xml:space="preserve"> відображається </w:t>
            </w:r>
            <w:r w:rsidR="00800A9B" w:rsidRPr="00DC599E">
              <w:rPr>
                <w:rFonts w:ascii="Times New Roman" w:hAnsi="Times New Roman" w:cs="Times New Roman"/>
                <w:b/>
                <w:strike/>
                <w:color w:val="000000"/>
                <w:sz w:val="24"/>
                <w:szCs w:val="24"/>
                <w:lang w:val="uk-UA"/>
              </w:rPr>
              <w:t>вартість сценічно-постановочних предметів</w:t>
            </w:r>
            <w:r w:rsidR="00800A9B" w:rsidRPr="00DC599E">
              <w:rPr>
                <w:rFonts w:ascii="Times New Roman" w:hAnsi="Times New Roman" w:cs="Times New Roman"/>
                <w:strike/>
                <w:color w:val="000000"/>
                <w:sz w:val="24"/>
                <w:szCs w:val="24"/>
                <w:lang w:val="uk-UA"/>
              </w:rPr>
              <w:t xml:space="preserve"> </w:t>
            </w:r>
            <w:r>
              <w:rPr>
                <w:rFonts w:ascii="Times New Roman" w:hAnsi="Times New Roman" w:cs="Times New Roman"/>
                <w:color w:val="000000"/>
                <w:sz w:val="24"/>
                <w:szCs w:val="24"/>
                <w:lang w:val="uk-UA"/>
              </w:rPr>
              <w:t>вартість</w:t>
            </w:r>
            <w:r w:rsidR="00800A9B" w:rsidRPr="00DC599E">
              <w:rPr>
                <w:rFonts w:ascii="Times New Roman" w:hAnsi="Times New Roman" w:cs="Times New Roman"/>
                <w:color w:val="000000"/>
                <w:sz w:val="24"/>
                <w:szCs w:val="24"/>
                <w:lang w:val="uk-UA"/>
              </w:rPr>
              <w:t xml:space="preserve"> завершених капітальних інвестицій в об'єкти </w:t>
            </w:r>
            <w:r>
              <w:rPr>
                <w:rFonts w:ascii="Times New Roman" w:hAnsi="Times New Roman" w:cs="Times New Roman"/>
                <w:color w:val="000000"/>
                <w:sz w:val="24"/>
                <w:szCs w:val="24"/>
                <w:lang w:val="uk-UA"/>
              </w:rPr>
              <w:t>операційної оренди (модернізація, модифікація,</w:t>
            </w:r>
            <w:r w:rsidR="00800A9B" w:rsidRPr="00DC599E">
              <w:rPr>
                <w:rFonts w:ascii="Times New Roman" w:hAnsi="Times New Roman" w:cs="Times New Roman"/>
                <w:color w:val="000000"/>
                <w:sz w:val="24"/>
                <w:szCs w:val="24"/>
                <w:lang w:val="uk-UA"/>
              </w:rPr>
              <w:t xml:space="preserve"> добудова, дообладнання, реконструкція тощо).</w:t>
            </w:r>
          </w:p>
        </w:tc>
        <w:tc>
          <w:tcPr>
            <w:tcW w:w="7294" w:type="dxa"/>
          </w:tcPr>
          <w:p w:rsidR="00800A9B" w:rsidRPr="00DC599E" w:rsidRDefault="00483ABF" w:rsidP="00483ABF">
            <w:pPr>
              <w:pStyle w:val="HTML"/>
              <w:shd w:val="clear" w:color="auto" w:fill="FFFFFF"/>
              <w:jc w:val="both"/>
              <w:textAlignment w:val="baseline"/>
              <w:rPr>
                <w:color w:val="000000"/>
                <w:sz w:val="21"/>
                <w:szCs w:val="21"/>
                <w:lang w:val="uk-UA"/>
              </w:rPr>
            </w:pPr>
            <w:r>
              <w:rPr>
                <w:rFonts w:ascii="Times New Roman" w:hAnsi="Times New Roman" w:cs="Times New Roman"/>
                <w:color w:val="000000"/>
                <w:sz w:val="24"/>
                <w:szCs w:val="24"/>
                <w:lang w:val="uk-UA"/>
              </w:rPr>
              <w:t xml:space="preserve">На субрахунку 117 </w:t>
            </w:r>
            <w:r w:rsidR="00007AF6">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Інші необоротні матеріальні активи</w:t>
            </w:r>
            <w:r w:rsidR="00007AF6">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xml:space="preserve"> ведеться</w:t>
            </w:r>
            <w:r w:rsidR="00800A9B" w:rsidRPr="00DC599E">
              <w:rPr>
                <w:rFonts w:ascii="Times New Roman" w:hAnsi="Times New Roman" w:cs="Times New Roman"/>
                <w:color w:val="000000"/>
                <w:sz w:val="24"/>
                <w:szCs w:val="24"/>
                <w:lang w:val="uk-UA"/>
              </w:rPr>
              <w:t xml:space="preserve"> облік наявності та руху інших необ</w:t>
            </w:r>
            <w:r>
              <w:rPr>
                <w:rFonts w:ascii="Times New Roman" w:hAnsi="Times New Roman" w:cs="Times New Roman"/>
                <w:color w:val="000000"/>
                <w:sz w:val="24"/>
                <w:szCs w:val="24"/>
                <w:lang w:val="uk-UA"/>
              </w:rPr>
              <w:t>оротних матеріальних активів,</w:t>
            </w:r>
            <w:r w:rsidR="00007AF6">
              <w:rPr>
                <w:rFonts w:ascii="Times New Roman" w:hAnsi="Times New Roman" w:cs="Times New Roman"/>
                <w:color w:val="000000"/>
                <w:sz w:val="24"/>
                <w:szCs w:val="24"/>
                <w:lang w:val="uk-UA"/>
              </w:rPr>
              <w:t xml:space="preserve"> </w:t>
            </w:r>
            <w:r w:rsidR="00800A9B" w:rsidRPr="00DC599E">
              <w:rPr>
                <w:rFonts w:ascii="Times New Roman" w:hAnsi="Times New Roman" w:cs="Times New Roman"/>
                <w:color w:val="000000"/>
                <w:sz w:val="24"/>
                <w:szCs w:val="24"/>
                <w:lang w:val="uk-UA"/>
              </w:rPr>
              <w:t xml:space="preserve">які не знайшли відображення </w:t>
            </w:r>
            <w:r>
              <w:rPr>
                <w:rFonts w:ascii="Times New Roman" w:hAnsi="Times New Roman" w:cs="Times New Roman"/>
                <w:color w:val="000000"/>
                <w:sz w:val="24"/>
                <w:szCs w:val="24"/>
                <w:lang w:val="uk-UA"/>
              </w:rPr>
              <w:t xml:space="preserve">на інших субрахунках рахунку 11 </w:t>
            </w:r>
            <w:r w:rsidR="00007AF6">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Інші необоротні матеріальні активи</w:t>
            </w:r>
            <w:r w:rsidR="00007AF6">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На цьому субрахунку, зокрема, відображається вартість</w:t>
            </w:r>
            <w:r w:rsidR="00800A9B" w:rsidRPr="00DC599E">
              <w:rPr>
                <w:rFonts w:ascii="Times New Roman" w:hAnsi="Times New Roman" w:cs="Times New Roman"/>
                <w:color w:val="000000"/>
                <w:sz w:val="24"/>
                <w:szCs w:val="24"/>
                <w:lang w:val="uk-UA"/>
              </w:rPr>
              <w:t xml:space="preserve"> завершених капітальних інвестицій в об'єкти операц</w:t>
            </w:r>
            <w:r>
              <w:rPr>
                <w:rFonts w:ascii="Times New Roman" w:hAnsi="Times New Roman" w:cs="Times New Roman"/>
                <w:color w:val="000000"/>
                <w:sz w:val="24"/>
                <w:szCs w:val="24"/>
                <w:lang w:val="uk-UA"/>
              </w:rPr>
              <w:t xml:space="preserve">ійної оренди (модернізація, модифікація, добудова, </w:t>
            </w:r>
            <w:r w:rsidR="00800A9B" w:rsidRPr="00DC599E">
              <w:rPr>
                <w:rFonts w:ascii="Times New Roman" w:hAnsi="Times New Roman" w:cs="Times New Roman"/>
                <w:color w:val="000000"/>
                <w:sz w:val="24"/>
                <w:szCs w:val="24"/>
                <w:lang w:val="uk-UA"/>
              </w:rPr>
              <w:t>дообладнання, реконструкція тощо).</w:t>
            </w:r>
          </w:p>
          <w:p w:rsidR="00800A9B" w:rsidRPr="00DC599E" w:rsidRDefault="00800A9B" w:rsidP="00483ABF">
            <w:pPr>
              <w:pStyle w:val="HTML"/>
              <w:shd w:val="clear" w:color="auto" w:fill="FFFFFF"/>
              <w:jc w:val="both"/>
              <w:textAlignment w:val="baseline"/>
              <w:rPr>
                <w:rFonts w:ascii="Times New Roman" w:hAnsi="Times New Roman" w:cs="Times New Roman"/>
                <w:color w:val="000000"/>
                <w:sz w:val="24"/>
                <w:szCs w:val="24"/>
                <w:lang w:val="uk-UA"/>
              </w:rPr>
            </w:pPr>
          </w:p>
        </w:tc>
      </w:tr>
      <w:tr w:rsidR="00800A9B" w:rsidRPr="00DC599E" w:rsidTr="00AD6150">
        <w:trPr>
          <w:jc w:val="center"/>
        </w:trPr>
        <w:tc>
          <w:tcPr>
            <w:tcW w:w="0" w:type="auto"/>
            <w:gridSpan w:val="2"/>
          </w:tcPr>
          <w:p w:rsidR="00800A9B" w:rsidRPr="00DC599E" w:rsidRDefault="00800A9B" w:rsidP="00007AF6">
            <w:pPr>
              <w:pStyle w:val="HTML"/>
              <w:shd w:val="clear" w:color="auto" w:fill="FFFFFF"/>
              <w:jc w:val="center"/>
              <w:textAlignment w:val="baseline"/>
              <w:rPr>
                <w:rFonts w:ascii="Times New Roman" w:hAnsi="Times New Roman" w:cs="Times New Roman"/>
                <w:color w:val="000000"/>
                <w:sz w:val="24"/>
                <w:szCs w:val="24"/>
                <w:lang w:val="uk-UA"/>
              </w:rPr>
            </w:pPr>
            <w:r w:rsidRPr="00DC599E">
              <w:rPr>
                <w:rFonts w:ascii="Times New Roman" w:hAnsi="Times New Roman" w:cs="Times New Roman"/>
                <w:b/>
                <w:bCs/>
                <w:color w:val="000000"/>
                <w:sz w:val="24"/>
                <w:szCs w:val="24"/>
                <w:bdr w:val="none" w:sz="0" w:space="0" w:color="auto" w:frame="1"/>
                <w:lang w:val="uk-UA"/>
              </w:rPr>
              <w:t xml:space="preserve">Рахунок 30 </w:t>
            </w:r>
            <w:r w:rsidR="00007AF6">
              <w:rPr>
                <w:rFonts w:ascii="Times New Roman" w:hAnsi="Times New Roman" w:cs="Times New Roman"/>
                <w:b/>
                <w:bCs/>
                <w:color w:val="000000"/>
                <w:sz w:val="24"/>
                <w:szCs w:val="24"/>
                <w:bdr w:val="none" w:sz="0" w:space="0" w:color="auto" w:frame="1"/>
                <w:lang w:val="uk-UA"/>
              </w:rPr>
              <w:t>«</w:t>
            </w:r>
            <w:r w:rsidRPr="00DC599E">
              <w:rPr>
                <w:rFonts w:ascii="Times New Roman" w:hAnsi="Times New Roman" w:cs="Times New Roman"/>
                <w:b/>
                <w:bCs/>
                <w:color w:val="000000"/>
                <w:sz w:val="24"/>
                <w:szCs w:val="24"/>
                <w:bdr w:val="none" w:sz="0" w:space="0" w:color="auto" w:frame="1"/>
                <w:lang w:val="uk-UA"/>
              </w:rPr>
              <w:t>Каса</w:t>
            </w:r>
            <w:r w:rsidR="00007AF6">
              <w:rPr>
                <w:rFonts w:ascii="Times New Roman" w:hAnsi="Times New Roman" w:cs="Times New Roman"/>
                <w:b/>
                <w:bCs/>
                <w:color w:val="000000"/>
                <w:sz w:val="24"/>
                <w:szCs w:val="24"/>
                <w:bdr w:val="none" w:sz="0" w:space="0" w:color="auto" w:frame="1"/>
                <w:lang w:val="uk-UA"/>
              </w:rPr>
              <w:t>»</w:t>
            </w:r>
          </w:p>
        </w:tc>
      </w:tr>
      <w:tr w:rsidR="00800A9B" w:rsidRPr="00DC599E" w:rsidTr="009A40AE">
        <w:trPr>
          <w:jc w:val="center"/>
        </w:trPr>
        <w:tc>
          <w:tcPr>
            <w:tcW w:w="7492" w:type="dxa"/>
          </w:tcPr>
          <w:p w:rsidR="00800A9B" w:rsidRPr="00DC599E" w:rsidRDefault="00ED2FD7" w:rsidP="00007AF6">
            <w:pPr>
              <w:pStyle w:val="HTML"/>
              <w:shd w:val="clear" w:color="auto" w:fill="FFFFFF"/>
              <w:textAlignment w:val="baseline"/>
              <w:rPr>
                <w:rFonts w:ascii="Times New Roman" w:hAnsi="Times New Roman" w:cs="Times New Roman"/>
                <w:color w:val="000000"/>
                <w:sz w:val="24"/>
                <w:szCs w:val="24"/>
                <w:lang w:val="uk-UA"/>
              </w:rPr>
            </w:pPr>
            <w:r w:rsidRPr="00DC599E">
              <w:rPr>
                <w:rFonts w:ascii="Times New Roman" w:hAnsi="Times New Roman" w:cs="Times New Roman"/>
                <w:bCs/>
                <w:color w:val="000000"/>
                <w:sz w:val="24"/>
                <w:szCs w:val="24"/>
                <w:bdr w:val="none" w:sz="0" w:space="0" w:color="auto" w:frame="1"/>
                <w:lang w:val="uk-UA"/>
              </w:rPr>
              <w:t xml:space="preserve">Рахунок 30 </w:t>
            </w:r>
            <w:r w:rsidR="00007AF6">
              <w:rPr>
                <w:rFonts w:ascii="Times New Roman" w:hAnsi="Times New Roman" w:cs="Times New Roman"/>
                <w:bCs/>
                <w:color w:val="000000"/>
                <w:sz w:val="24"/>
                <w:szCs w:val="24"/>
                <w:bdr w:val="none" w:sz="0" w:space="0" w:color="auto" w:frame="1"/>
                <w:lang w:val="uk-UA"/>
              </w:rPr>
              <w:t>«</w:t>
            </w:r>
            <w:r w:rsidRPr="00DC599E">
              <w:rPr>
                <w:rFonts w:ascii="Times New Roman" w:hAnsi="Times New Roman" w:cs="Times New Roman"/>
                <w:b/>
                <w:bCs/>
                <w:color w:val="000000"/>
                <w:sz w:val="24"/>
                <w:szCs w:val="24"/>
                <w:bdr w:val="none" w:sz="0" w:space="0" w:color="auto" w:frame="1"/>
                <w:lang w:val="uk-UA"/>
              </w:rPr>
              <w:t>Каса</w:t>
            </w:r>
            <w:r w:rsidR="00007AF6">
              <w:rPr>
                <w:rFonts w:ascii="Times New Roman" w:hAnsi="Times New Roman" w:cs="Times New Roman"/>
                <w:bCs/>
                <w:color w:val="000000"/>
                <w:sz w:val="24"/>
                <w:szCs w:val="24"/>
                <w:bdr w:val="none" w:sz="0" w:space="0" w:color="auto" w:frame="1"/>
                <w:lang w:val="uk-UA"/>
              </w:rPr>
              <w:t>»</w:t>
            </w:r>
          </w:p>
        </w:tc>
        <w:tc>
          <w:tcPr>
            <w:tcW w:w="7294" w:type="dxa"/>
          </w:tcPr>
          <w:p w:rsidR="00800A9B" w:rsidRPr="00DC599E" w:rsidRDefault="00ED2FD7" w:rsidP="00007AF6">
            <w:pPr>
              <w:pStyle w:val="HTML"/>
              <w:shd w:val="clear" w:color="auto" w:fill="FFFFFF"/>
              <w:textAlignment w:val="baseline"/>
              <w:rPr>
                <w:rFonts w:ascii="Times New Roman" w:hAnsi="Times New Roman" w:cs="Times New Roman"/>
                <w:color w:val="000000"/>
                <w:sz w:val="24"/>
                <w:szCs w:val="24"/>
                <w:lang w:val="uk-UA"/>
              </w:rPr>
            </w:pPr>
            <w:r w:rsidRPr="00DC599E">
              <w:rPr>
                <w:rFonts w:ascii="Times New Roman" w:hAnsi="Times New Roman" w:cs="Times New Roman"/>
                <w:bCs/>
                <w:color w:val="000000"/>
                <w:sz w:val="24"/>
                <w:szCs w:val="24"/>
                <w:bdr w:val="none" w:sz="0" w:space="0" w:color="auto" w:frame="1"/>
                <w:lang w:val="uk-UA"/>
              </w:rPr>
              <w:t xml:space="preserve">Рахунок 30 </w:t>
            </w:r>
            <w:r w:rsidR="00007AF6">
              <w:rPr>
                <w:rFonts w:ascii="Times New Roman" w:hAnsi="Times New Roman" w:cs="Times New Roman"/>
                <w:bCs/>
                <w:color w:val="000000"/>
                <w:sz w:val="24"/>
                <w:szCs w:val="24"/>
                <w:bdr w:val="none" w:sz="0" w:space="0" w:color="auto" w:frame="1"/>
                <w:lang w:val="uk-UA"/>
              </w:rPr>
              <w:t>«</w:t>
            </w:r>
            <w:r w:rsidRPr="00DC599E">
              <w:rPr>
                <w:rFonts w:ascii="Times New Roman" w:hAnsi="Times New Roman" w:cs="Times New Roman"/>
                <w:b/>
                <w:bCs/>
                <w:color w:val="000000"/>
                <w:sz w:val="24"/>
                <w:szCs w:val="24"/>
                <w:bdr w:val="none" w:sz="0" w:space="0" w:color="auto" w:frame="1"/>
                <w:lang w:val="uk-UA"/>
              </w:rPr>
              <w:t>Готівка</w:t>
            </w:r>
            <w:r w:rsidR="00007AF6">
              <w:rPr>
                <w:rFonts w:ascii="Times New Roman" w:hAnsi="Times New Roman" w:cs="Times New Roman"/>
                <w:bCs/>
                <w:color w:val="000000"/>
                <w:sz w:val="24"/>
                <w:szCs w:val="24"/>
                <w:bdr w:val="none" w:sz="0" w:space="0" w:color="auto" w:frame="1"/>
                <w:lang w:val="uk-UA"/>
              </w:rPr>
              <w:t>»</w:t>
            </w:r>
          </w:p>
        </w:tc>
      </w:tr>
      <w:tr w:rsidR="00ED2FD7" w:rsidRPr="00DC599E" w:rsidTr="009A40AE">
        <w:trPr>
          <w:jc w:val="center"/>
        </w:trPr>
        <w:tc>
          <w:tcPr>
            <w:tcW w:w="7492" w:type="dxa"/>
          </w:tcPr>
          <w:p w:rsidR="00ED2FD7" w:rsidRPr="00DC599E" w:rsidRDefault="00ED2FD7" w:rsidP="00ED2FD7">
            <w:pPr>
              <w:pStyle w:val="HTML"/>
              <w:shd w:val="clear" w:color="auto" w:fill="FFFFFF"/>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301 </w:t>
            </w:r>
            <w:r w:rsidR="00007AF6">
              <w:rPr>
                <w:rFonts w:ascii="Times New Roman" w:hAnsi="Times New Roman" w:cs="Times New Roman"/>
                <w:color w:val="000000"/>
                <w:sz w:val="24"/>
                <w:szCs w:val="24"/>
                <w:lang w:val="uk-UA"/>
              </w:rPr>
              <w:t>«</w:t>
            </w:r>
            <w:r w:rsidRPr="00DC599E">
              <w:rPr>
                <w:rFonts w:ascii="Times New Roman" w:hAnsi="Times New Roman" w:cs="Times New Roman"/>
                <w:b/>
                <w:color w:val="000000"/>
                <w:sz w:val="24"/>
                <w:szCs w:val="24"/>
                <w:lang w:val="uk-UA"/>
              </w:rPr>
              <w:t>Каса</w:t>
            </w:r>
            <w:r w:rsidRPr="00DC599E">
              <w:rPr>
                <w:rFonts w:ascii="Times New Roman" w:hAnsi="Times New Roman" w:cs="Times New Roman"/>
                <w:color w:val="000000"/>
                <w:sz w:val="24"/>
                <w:szCs w:val="24"/>
                <w:lang w:val="uk-UA"/>
              </w:rPr>
              <w:t xml:space="preserve"> в національній валюті</w:t>
            </w:r>
            <w:r w:rsidR="00007AF6">
              <w:rPr>
                <w:rFonts w:ascii="Times New Roman" w:hAnsi="Times New Roman" w:cs="Times New Roman"/>
                <w:color w:val="000000"/>
                <w:sz w:val="24"/>
                <w:szCs w:val="24"/>
                <w:lang w:val="uk-UA"/>
              </w:rPr>
              <w:t>»</w:t>
            </w:r>
          </w:p>
          <w:p w:rsidR="00ED2FD7" w:rsidRPr="00781828" w:rsidRDefault="00ED2FD7" w:rsidP="00007AF6">
            <w:pPr>
              <w:pStyle w:val="HTML"/>
              <w:shd w:val="clear" w:color="auto" w:fill="FFFFFF"/>
              <w:textAlignment w:val="baseline"/>
              <w:rPr>
                <w:rFonts w:ascii="Times New Roman" w:hAnsi="Times New Roman" w:cs="Times New Roman"/>
                <w:color w:val="000000"/>
                <w:sz w:val="24"/>
                <w:szCs w:val="24"/>
                <w:lang w:val="uk-UA"/>
              </w:rPr>
            </w:pPr>
            <w:bookmarkStart w:id="0" w:name="o468"/>
            <w:bookmarkEnd w:id="0"/>
            <w:r w:rsidRPr="00DC599E">
              <w:rPr>
                <w:rFonts w:ascii="Times New Roman" w:hAnsi="Times New Roman" w:cs="Times New Roman"/>
                <w:color w:val="000000"/>
                <w:sz w:val="24"/>
                <w:szCs w:val="24"/>
                <w:lang w:val="uk-UA"/>
              </w:rPr>
              <w:t xml:space="preserve">302 </w:t>
            </w:r>
            <w:r w:rsidR="00007AF6">
              <w:rPr>
                <w:rFonts w:ascii="Times New Roman" w:hAnsi="Times New Roman" w:cs="Times New Roman"/>
                <w:color w:val="000000"/>
                <w:sz w:val="24"/>
                <w:szCs w:val="24"/>
                <w:lang w:val="uk-UA"/>
              </w:rPr>
              <w:t>«</w:t>
            </w:r>
            <w:r w:rsidRPr="00DC599E">
              <w:rPr>
                <w:rFonts w:ascii="Times New Roman" w:hAnsi="Times New Roman" w:cs="Times New Roman"/>
                <w:b/>
                <w:color w:val="000000"/>
                <w:sz w:val="24"/>
                <w:szCs w:val="24"/>
                <w:lang w:val="uk-UA"/>
              </w:rPr>
              <w:t>Каса</w:t>
            </w:r>
            <w:r w:rsidRPr="00DC599E">
              <w:rPr>
                <w:rFonts w:ascii="Times New Roman" w:hAnsi="Times New Roman" w:cs="Times New Roman"/>
                <w:color w:val="000000"/>
                <w:sz w:val="24"/>
                <w:szCs w:val="24"/>
                <w:lang w:val="uk-UA"/>
              </w:rPr>
              <w:t xml:space="preserve"> в іноземній валюті</w:t>
            </w:r>
            <w:r w:rsidR="00007AF6">
              <w:rPr>
                <w:rFonts w:ascii="Times New Roman" w:hAnsi="Times New Roman" w:cs="Times New Roman"/>
                <w:color w:val="000000"/>
                <w:sz w:val="24"/>
                <w:szCs w:val="24"/>
                <w:lang w:val="uk-UA"/>
              </w:rPr>
              <w:t>»</w:t>
            </w:r>
          </w:p>
        </w:tc>
        <w:tc>
          <w:tcPr>
            <w:tcW w:w="7294" w:type="dxa"/>
          </w:tcPr>
          <w:p w:rsidR="00ED2FD7" w:rsidRPr="00DC599E" w:rsidRDefault="00ED2FD7" w:rsidP="00ED2FD7">
            <w:pPr>
              <w:pStyle w:val="HTML"/>
              <w:shd w:val="clear" w:color="auto" w:fill="FFFFFF"/>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301 </w:t>
            </w:r>
            <w:r w:rsidR="00007AF6">
              <w:rPr>
                <w:rFonts w:ascii="Times New Roman" w:hAnsi="Times New Roman" w:cs="Times New Roman"/>
                <w:color w:val="000000"/>
                <w:sz w:val="24"/>
                <w:szCs w:val="24"/>
                <w:lang w:val="uk-UA"/>
              </w:rPr>
              <w:t>«</w:t>
            </w:r>
            <w:r w:rsidR="00760804" w:rsidRPr="00DC599E">
              <w:rPr>
                <w:rFonts w:ascii="Times New Roman" w:hAnsi="Times New Roman" w:cs="Times New Roman"/>
                <w:b/>
                <w:color w:val="000000"/>
                <w:sz w:val="24"/>
                <w:szCs w:val="24"/>
                <w:lang w:val="uk-UA"/>
              </w:rPr>
              <w:t>Готівка</w:t>
            </w:r>
            <w:r w:rsidRPr="00DC599E">
              <w:rPr>
                <w:rFonts w:ascii="Times New Roman" w:hAnsi="Times New Roman" w:cs="Times New Roman"/>
                <w:color w:val="000000"/>
                <w:sz w:val="24"/>
                <w:szCs w:val="24"/>
                <w:lang w:val="uk-UA"/>
              </w:rPr>
              <w:t xml:space="preserve"> в національній валюті</w:t>
            </w:r>
            <w:r w:rsidR="00007AF6">
              <w:rPr>
                <w:rFonts w:ascii="Times New Roman" w:hAnsi="Times New Roman" w:cs="Times New Roman"/>
                <w:color w:val="000000"/>
                <w:sz w:val="24"/>
                <w:szCs w:val="24"/>
                <w:lang w:val="uk-UA"/>
              </w:rPr>
              <w:t>»</w:t>
            </w:r>
          </w:p>
          <w:p w:rsidR="00ED2FD7" w:rsidRPr="00781828" w:rsidRDefault="00ED2FD7" w:rsidP="00007AF6">
            <w:pPr>
              <w:pStyle w:val="HTML"/>
              <w:shd w:val="clear" w:color="auto" w:fill="FFFFFF"/>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302 </w:t>
            </w:r>
            <w:r w:rsidR="00007AF6">
              <w:rPr>
                <w:rFonts w:ascii="Times New Roman" w:hAnsi="Times New Roman" w:cs="Times New Roman"/>
                <w:color w:val="000000"/>
                <w:sz w:val="24"/>
                <w:szCs w:val="24"/>
                <w:lang w:val="uk-UA"/>
              </w:rPr>
              <w:t>«</w:t>
            </w:r>
            <w:r w:rsidR="00760804" w:rsidRPr="00DC599E">
              <w:rPr>
                <w:rFonts w:ascii="Times New Roman" w:hAnsi="Times New Roman" w:cs="Times New Roman"/>
                <w:b/>
                <w:color w:val="000000"/>
                <w:sz w:val="24"/>
                <w:szCs w:val="24"/>
                <w:lang w:val="uk-UA"/>
              </w:rPr>
              <w:t>Готівка</w:t>
            </w:r>
            <w:r w:rsidRPr="00DC599E">
              <w:rPr>
                <w:rFonts w:ascii="Times New Roman" w:hAnsi="Times New Roman" w:cs="Times New Roman"/>
                <w:color w:val="000000"/>
                <w:sz w:val="24"/>
                <w:szCs w:val="24"/>
                <w:lang w:val="uk-UA"/>
              </w:rPr>
              <w:t xml:space="preserve"> в іноземній валюті</w:t>
            </w:r>
            <w:r w:rsidR="00007AF6">
              <w:rPr>
                <w:rFonts w:ascii="Times New Roman" w:hAnsi="Times New Roman" w:cs="Times New Roman"/>
                <w:color w:val="000000"/>
                <w:sz w:val="24"/>
                <w:szCs w:val="24"/>
                <w:lang w:val="uk-UA"/>
              </w:rPr>
              <w:t>»</w:t>
            </w:r>
          </w:p>
        </w:tc>
      </w:tr>
      <w:tr w:rsidR="00ED2FD7" w:rsidRPr="00DC599E" w:rsidTr="009A40AE">
        <w:trPr>
          <w:jc w:val="center"/>
        </w:trPr>
        <w:tc>
          <w:tcPr>
            <w:tcW w:w="7492" w:type="dxa"/>
          </w:tcPr>
          <w:p w:rsidR="00ED2FD7" w:rsidRPr="00DC599E" w:rsidRDefault="00760804" w:rsidP="00DC389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На підприємствах,  де  працюють   операційні   каси   (продаж квитків,  оплата послуг зв'язку,  обмін валюти тощо) відкриваються субрахунки </w:t>
            </w:r>
            <w:r w:rsidR="00007AF6">
              <w:rPr>
                <w:rFonts w:ascii="Times New Roman" w:hAnsi="Times New Roman" w:cs="Times New Roman"/>
                <w:color w:val="000000"/>
                <w:sz w:val="24"/>
                <w:szCs w:val="24"/>
                <w:lang w:val="uk-UA"/>
              </w:rPr>
              <w:t>«</w:t>
            </w:r>
            <w:r w:rsidRPr="00DC599E">
              <w:rPr>
                <w:rFonts w:ascii="Times New Roman" w:hAnsi="Times New Roman" w:cs="Times New Roman"/>
                <w:b/>
                <w:color w:val="000000"/>
                <w:sz w:val="24"/>
                <w:szCs w:val="24"/>
                <w:lang w:val="uk-UA"/>
              </w:rPr>
              <w:t>Операційна каса в національній валюті</w:t>
            </w:r>
            <w:r w:rsidR="00007AF6">
              <w:rPr>
                <w:rFonts w:ascii="Times New Roman" w:hAnsi="Times New Roman" w:cs="Times New Roman"/>
                <w:color w:val="000000"/>
                <w:sz w:val="24"/>
                <w:szCs w:val="24"/>
                <w:lang w:val="uk-UA"/>
              </w:rPr>
              <w:t>» та «</w:t>
            </w:r>
            <w:r w:rsidRPr="00DC599E">
              <w:rPr>
                <w:rFonts w:ascii="Times New Roman" w:hAnsi="Times New Roman" w:cs="Times New Roman"/>
                <w:b/>
                <w:color w:val="000000"/>
                <w:sz w:val="24"/>
                <w:szCs w:val="24"/>
                <w:lang w:val="uk-UA"/>
              </w:rPr>
              <w:t>Операційна каса в іноземній валюті</w:t>
            </w:r>
            <w:r w:rsidR="00007AF6">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w:t>
            </w:r>
          </w:p>
        </w:tc>
        <w:tc>
          <w:tcPr>
            <w:tcW w:w="7294" w:type="dxa"/>
          </w:tcPr>
          <w:p w:rsidR="00ED2FD7" w:rsidRPr="00DC599E" w:rsidRDefault="00760804" w:rsidP="00DC3892">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На підприємствах,  де  працюють   операційні   каси  (продаж квитків,  оплата послуг зв'язку,  обмін валюти тощо) відкриваються субрахунки </w:t>
            </w:r>
            <w:r w:rsidR="00007AF6">
              <w:rPr>
                <w:rFonts w:ascii="Times New Roman" w:hAnsi="Times New Roman" w:cs="Times New Roman"/>
                <w:color w:val="000000"/>
                <w:sz w:val="24"/>
                <w:szCs w:val="24"/>
                <w:lang w:val="uk-UA"/>
              </w:rPr>
              <w:t>«</w:t>
            </w:r>
            <w:r w:rsidRPr="00DC599E">
              <w:rPr>
                <w:rFonts w:ascii="Times New Roman" w:hAnsi="Times New Roman" w:cs="Times New Roman"/>
                <w:b/>
                <w:color w:val="000000"/>
                <w:sz w:val="24"/>
                <w:szCs w:val="24"/>
                <w:lang w:val="uk-UA"/>
              </w:rPr>
              <w:t>Готівка  в національній валюті в операційній касі</w:t>
            </w:r>
            <w:r w:rsidR="00007AF6">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та  </w:t>
            </w:r>
            <w:r w:rsidR="00007AF6">
              <w:rPr>
                <w:rFonts w:ascii="Times New Roman" w:hAnsi="Times New Roman" w:cs="Times New Roman"/>
                <w:color w:val="000000"/>
                <w:sz w:val="24"/>
                <w:szCs w:val="24"/>
                <w:lang w:val="uk-UA"/>
              </w:rPr>
              <w:t>«</w:t>
            </w:r>
            <w:r w:rsidRPr="00DC599E">
              <w:rPr>
                <w:rFonts w:ascii="Times New Roman" w:hAnsi="Times New Roman" w:cs="Times New Roman"/>
                <w:b/>
                <w:color w:val="000000"/>
                <w:sz w:val="24"/>
                <w:szCs w:val="24"/>
                <w:lang w:val="uk-UA"/>
              </w:rPr>
              <w:t>Готівка в іноземній валюті в операційній касі</w:t>
            </w:r>
            <w:r w:rsidR="00007AF6">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w:t>
            </w:r>
          </w:p>
        </w:tc>
      </w:tr>
      <w:tr w:rsidR="00800A9B" w:rsidRPr="00DC599E" w:rsidTr="00AD6150">
        <w:trPr>
          <w:jc w:val="center"/>
        </w:trPr>
        <w:tc>
          <w:tcPr>
            <w:tcW w:w="0" w:type="auto"/>
            <w:gridSpan w:val="2"/>
          </w:tcPr>
          <w:p w:rsidR="00800A9B" w:rsidRPr="00DC599E" w:rsidRDefault="00800A9B" w:rsidP="00DC3892">
            <w:pPr>
              <w:pStyle w:val="HTML"/>
              <w:shd w:val="clear" w:color="auto" w:fill="FFFFFF"/>
              <w:jc w:val="center"/>
              <w:textAlignment w:val="baseline"/>
              <w:rPr>
                <w:rFonts w:ascii="Times New Roman" w:hAnsi="Times New Roman" w:cs="Times New Roman"/>
                <w:color w:val="000000"/>
                <w:sz w:val="24"/>
                <w:szCs w:val="24"/>
                <w:lang w:val="uk-UA"/>
              </w:rPr>
            </w:pPr>
            <w:r w:rsidRPr="00DC599E">
              <w:rPr>
                <w:rFonts w:ascii="Times New Roman" w:hAnsi="Times New Roman" w:cs="Times New Roman"/>
                <w:b/>
                <w:bCs/>
                <w:color w:val="000000"/>
                <w:sz w:val="24"/>
                <w:szCs w:val="24"/>
                <w:bdr w:val="none" w:sz="0" w:space="0" w:color="auto" w:frame="1"/>
                <w:lang w:val="uk-UA"/>
              </w:rPr>
              <w:t xml:space="preserve">Рахунок 70 </w:t>
            </w:r>
            <w:r w:rsidR="00DC3892">
              <w:rPr>
                <w:rFonts w:ascii="Times New Roman" w:hAnsi="Times New Roman" w:cs="Times New Roman"/>
                <w:b/>
                <w:bCs/>
                <w:color w:val="000000"/>
                <w:sz w:val="24"/>
                <w:szCs w:val="24"/>
                <w:bdr w:val="none" w:sz="0" w:space="0" w:color="auto" w:frame="1"/>
                <w:lang w:val="uk-UA"/>
              </w:rPr>
              <w:t>«</w:t>
            </w:r>
            <w:r w:rsidRPr="00DC599E">
              <w:rPr>
                <w:rFonts w:ascii="Times New Roman" w:hAnsi="Times New Roman" w:cs="Times New Roman"/>
                <w:b/>
                <w:bCs/>
                <w:color w:val="000000"/>
                <w:sz w:val="24"/>
                <w:szCs w:val="24"/>
                <w:bdr w:val="none" w:sz="0" w:space="0" w:color="auto" w:frame="1"/>
                <w:lang w:val="uk-UA"/>
              </w:rPr>
              <w:t>Доходи від реалізації</w:t>
            </w:r>
            <w:r w:rsidR="00DC3892">
              <w:rPr>
                <w:rFonts w:ascii="Times New Roman" w:hAnsi="Times New Roman" w:cs="Times New Roman"/>
                <w:b/>
                <w:bCs/>
                <w:color w:val="000000"/>
                <w:sz w:val="24"/>
                <w:szCs w:val="24"/>
                <w:bdr w:val="none" w:sz="0" w:space="0" w:color="auto" w:frame="1"/>
                <w:lang w:val="uk-UA"/>
              </w:rPr>
              <w:t>»</w:t>
            </w:r>
          </w:p>
        </w:tc>
      </w:tr>
      <w:tr w:rsidR="00800A9B" w:rsidRPr="00DC599E" w:rsidTr="009A40AE">
        <w:trPr>
          <w:jc w:val="center"/>
        </w:trPr>
        <w:tc>
          <w:tcPr>
            <w:tcW w:w="7492" w:type="dxa"/>
          </w:tcPr>
          <w:p w:rsidR="00800A9B" w:rsidRPr="00781828" w:rsidRDefault="00800A9B" w:rsidP="00DC3892">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За кредитом  субрахунків  701-703  відображається  збільшення (одержання)  доходу,  за  дебетом - належна сума непрямих податків (</w:t>
            </w:r>
            <w:r w:rsidRPr="00DC599E">
              <w:rPr>
                <w:rFonts w:ascii="Times New Roman" w:hAnsi="Times New Roman" w:cs="Times New Roman"/>
                <w:b/>
                <w:color w:val="000000"/>
                <w:sz w:val="24"/>
                <w:szCs w:val="24"/>
                <w:lang w:val="uk-UA"/>
              </w:rPr>
              <w:t>акцизного збору</w:t>
            </w:r>
            <w:r w:rsidRPr="00DC599E">
              <w:rPr>
                <w:rFonts w:ascii="Times New Roman" w:hAnsi="Times New Roman" w:cs="Times New Roman"/>
                <w:color w:val="000000"/>
                <w:sz w:val="24"/>
                <w:szCs w:val="24"/>
                <w:lang w:val="uk-UA"/>
              </w:rPr>
              <w:t xml:space="preserve">,  податку на додану вартість та інших, передбачених  законодавством);  результат операцій перестрахування (у  кореспонденції з субрахунком 705 </w:t>
            </w:r>
            <w:r w:rsidR="00DC3892">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Перестрахування</w:t>
            </w:r>
            <w:r w:rsidR="00DC3892">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результат зміни  резервів незароблених премій (у страхових організаціях); та списання у порядку закриття на рахунок 79 </w:t>
            </w:r>
            <w:r w:rsidR="00DC3892">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Фінансові результати</w:t>
            </w:r>
            <w:r w:rsidR="00DC3892">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w:t>
            </w:r>
          </w:p>
        </w:tc>
        <w:tc>
          <w:tcPr>
            <w:tcW w:w="7294" w:type="dxa"/>
          </w:tcPr>
          <w:p w:rsidR="00800A9B" w:rsidRPr="00DC599E" w:rsidRDefault="00800A9B" w:rsidP="00DC3892">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За кредитом субрахунків 701-703 відображається збільшення (одержання)  доходу,  за  дебетом - належна сума непрямих податків (</w:t>
            </w:r>
            <w:r w:rsidRPr="00DC599E">
              <w:rPr>
                <w:rFonts w:ascii="Times New Roman" w:hAnsi="Times New Roman" w:cs="Times New Roman"/>
                <w:b/>
                <w:color w:val="000000"/>
                <w:sz w:val="24"/>
                <w:szCs w:val="24"/>
                <w:lang w:val="uk-UA"/>
              </w:rPr>
              <w:t>акцизного податку</w:t>
            </w:r>
            <w:r w:rsidRPr="00DC599E">
              <w:rPr>
                <w:rFonts w:ascii="Times New Roman" w:hAnsi="Times New Roman" w:cs="Times New Roman"/>
                <w:color w:val="000000"/>
                <w:sz w:val="24"/>
                <w:szCs w:val="24"/>
                <w:lang w:val="uk-UA"/>
              </w:rPr>
              <w:t xml:space="preserve">, </w:t>
            </w:r>
            <w:proofErr w:type="spellStart"/>
            <w:r w:rsidRPr="00DC599E">
              <w:rPr>
                <w:rFonts w:ascii="Times New Roman" w:hAnsi="Times New Roman" w:cs="Times New Roman"/>
                <w:color w:val="000000"/>
                <w:sz w:val="24"/>
                <w:szCs w:val="24"/>
                <w:lang w:val="uk-UA"/>
              </w:rPr>
              <w:t>податку</w:t>
            </w:r>
            <w:proofErr w:type="spellEnd"/>
            <w:r w:rsidRPr="00DC599E">
              <w:rPr>
                <w:rFonts w:ascii="Times New Roman" w:hAnsi="Times New Roman" w:cs="Times New Roman"/>
                <w:color w:val="000000"/>
                <w:sz w:val="24"/>
                <w:szCs w:val="24"/>
                <w:lang w:val="uk-UA"/>
              </w:rPr>
              <w:t xml:space="preserve"> на додану вартість та інших, передбачених законодавством); результат операцій перестрахування (у кореспонденції з субрахунком 705 </w:t>
            </w:r>
            <w:r w:rsidR="00DC3892">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Перестрахування</w:t>
            </w:r>
            <w:r w:rsidR="00DC3892">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результат зміни  резервів незароблених премій (у страхових організаціях); та списання у порядку закриття на рахунок 79 </w:t>
            </w:r>
            <w:r w:rsidR="00DC3892">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Фінансові результати</w:t>
            </w:r>
            <w:r w:rsidR="00DC3892">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w:t>
            </w:r>
          </w:p>
          <w:p w:rsidR="00800A9B" w:rsidRPr="00DC599E" w:rsidRDefault="00800A9B" w:rsidP="00DC3892">
            <w:pPr>
              <w:pStyle w:val="HTML"/>
              <w:shd w:val="clear" w:color="auto" w:fill="FFFFFF"/>
              <w:jc w:val="both"/>
              <w:textAlignment w:val="baseline"/>
              <w:rPr>
                <w:rFonts w:ascii="Times New Roman" w:hAnsi="Times New Roman" w:cs="Times New Roman"/>
                <w:b/>
                <w:bCs/>
                <w:color w:val="000000"/>
                <w:sz w:val="24"/>
                <w:szCs w:val="24"/>
                <w:bdr w:val="none" w:sz="0" w:space="0" w:color="auto" w:frame="1"/>
                <w:lang w:val="uk-UA"/>
              </w:rPr>
            </w:pPr>
          </w:p>
        </w:tc>
      </w:tr>
      <w:tr w:rsidR="00DF4C1F" w:rsidRPr="00DC599E" w:rsidTr="00AD6150">
        <w:trPr>
          <w:jc w:val="center"/>
        </w:trPr>
        <w:tc>
          <w:tcPr>
            <w:tcW w:w="0" w:type="auto"/>
            <w:gridSpan w:val="2"/>
          </w:tcPr>
          <w:p w:rsidR="00DF4C1F" w:rsidRPr="00DC599E" w:rsidRDefault="00DF4C1F" w:rsidP="00DC3892">
            <w:pPr>
              <w:pStyle w:val="HTML"/>
              <w:shd w:val="clear" w:color="auto" w:fill="FFFFFF"/>
              <w:jc w:val="center"/>
              <w:textAlignment w:val="baseline"/>
              <w:rPr>
                <w:rFonts w:ascii="Times New Roman" w:hAnsi="Times New Roman" w:cs="Times New Roman"/>
                <w:color w:val="000000"/>
                <w:sz w:val="24"/>
                <w:szCs w:val="24"/>
                <w:lang w:val="uk-UA"/>
              </w:rPr>
            </w:pPr>
            <w:r w:rsidRPr="00DC599E">
              <w:rPr>
                <w:rFonts w:ascii="Times New Roman" w:hAnsi="Times New Roman" w:cs="Times New Roman"/>
                <w:b/>
                <w:bCs/>
                <w:color w:val="000000"/>
                <w:sz w:val="24"/>
                <w:szCs w:val="24"/>
                <w:bdr w:val="none" w:sz="0" w:space="0" w:color="auto" w:frame="1"/>
                <w:lang w:val="uk-UA"/>
              </w:rPr>
              <w:t xml:space="preserve">Рахунок 71 </w:t>
            </w:r>
            <w:r w:rsidR="00DC3892">
              <w:rPr>
                <w:rFonts w:ascii="Times New Roman" w:hAnsi="Times New Roman" w:cs="Times New Roman"/>
                <w:b/>
                <w:bCs/>
                <w:color w:val="000000"/>
                <w:sz w:val="24"/>
                <w:szCs w:val="24"/>
                <w:bdr w:val="none" w:sz="0" w:space="0" w:color="auto" w:frame="1"/>
                <w:lang w:val="uk-UA"/>
              </w:rPr>
              <w:t>«</w:t>
            </w:r>
            <w:r w:rsidRPr="00DC599E">
              <w:rPr>
                <w:rFonts w:ascii="Times New Roman" w:hAnsi="Times New Roman" w:cs="Times New Roman"/>
                <w:b/>
                <w:bCs/>
                <w:color w:val="000000"/>
                <w:sz w:val="24"/>
                <w:szCs w:val="24"/>
                <w:bdr w:val="none" w:sz="0" w:space="0" w:color="auto" w:frame="1"/>
                <w:lang w:val="uk-UA"/>
              </w:rPr>
              <w:t>Інший операційний дохід</w:t>
            </w:r>
            <w:r w:rsidR="00DC3892">
              <w:rPr>
                <w:rFonts w:ascii="Times New Roman" w:hAnsi="Times New Roman" w:cs="Times New Roman"/>
                <w:b/>
                <w:bCs/>
                <w:color w:val="000000"/>
                <w:sz w:val="24"/>
                <w:szCs w:val="24"/>
                <w:bdr w:val="none" w:sz="0" w:space="0" w:color="auto" w:frame="1"/>
                <w:lang w:val="uk-UA"/>
              </w:rPr>
              <w:t>»</w:t>
            </w:r>
          </w:p>
        </w:tc>
      </w:tr>
      <w:tr w:rsidR="00DF4C1F" w:rsidRPr="00DC599E" w:rsidTr="009A40AE">
        <w:trPr>
          <w:jc w:val="center"/>
        </w:trPr>
        <w:tc>
          <w:tcPr>
            <w:tcW w:w="7492" w:type="dxa"/>
          </w:tcPr>
          <w:p w:rsidR="00DF4C1F" w:rsidRPr="00DC599E" w:rsidRDefault="00DF4C1F" w:rsidP="004C0460">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За кредитом рахунку 71 </w:t>
            </w:r>
            <w:r w:rsidR="00DC3892">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Інший операційний дохід</w:t>
            </w:r>
            <w:r w:rsidR="00DC3892">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відображається збільшення (одержання) доходу, за дебетом - суми непрямих податків (податку на додану вартість, </w:t>
            </w:r>
            <w:r w:rsidRPr="00DC599E">
              <w:rPr>
                <w:rFonts w:ascii="Times New Roman" w:hAnsi="Times New Roman" w:cs="Times New Roman"/>
                <w:b/>
                <w:color w:val="000000"/>
                <w:sz w:val="24"/>
                <w:szCs w:val="24"/>
                <w:lang w:val="uk-UA"/>
              </w:rPr>
              <w:t>акцизного збору</w:t>
            </w:r>
            <w:r w:rsidRPr="00DC599E">
              <w:rPr>
                <w:rFonts w:ascii="Times New Roman" w:hAnsi="Times New Roman" w:cs="Times New Roman"/>
                <w:color w:val="000000"/>
                <w:sz w:val="24"/>
                <w:szCs w:val="24"/>
                <w:lang w:val="uk-UA"/>
              </w:rPr>
              <w:t xml:space="preserve"> та інших зборів  (обов'язкових  платежів)) та списання  в  порядку закриття на рахунок 79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Фінансові результати</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w:t>
            </w:r>
          </w:p>
        </w:tc>
        <w:tc>
          <w:tcPr>
            <w:tcW w:w="7294" w:type="dxa"/>
          </w:tcPr>
          <w:p w:rsidR="00DF4C1F" w:rsidRPr="00DC599E" w:rsidRDefault="00DF4C1F" w:rsidP="004C0460">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За кредитом рахунку 71 </w:t>
            </w:r>
            <w:r w:rsidR="00DC3892">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Інший операційний дохід</w:t>
            </w:r>
            <w:r w:rsidR="00DC3892">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відображається збільшення (одержання) доходу, за дебетом - суми непрямих податків (податку на додану вартість, </w:t>
            </w:r>
            <w:r w:rsidRPr="00DC599E">
              <w:rPr>
                <w:rFonts w:ascii="Times New Roman" w:hAnsi="Times New Roman" w:cs="Times New Roman"/>
                <w:b/>
                <w:color w:val="000000"/>
                <w:sz w:val="24"/>
                <w:szCs w:val="24"/>
                <w:lang w:val="uk-UA"/>
              </w:rPr>
              <w:t>акцизного податку</w:t>
            </w:r>
            <w:r w:rsidRPr="00DC599E">
              <w:rPr>
                <w:rFonts w:ascii="Times New Roman" w:hAnsi="Times New Roman" w:cs="Times New Roman"/>
                <w:color w:val="000000"/>
                <w:sz w:val="24"/>
                <w:szCs w:val="24"/>
                <w:lang w:val="uk-UA"/>
              </w:rPr>
              <w:t xml:space="preserve"> та інших  зборів (обов'язкових  платежів)) та списання в порядку закриття на рахунок 79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Фінансові результати</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w:t>
            </w:r>
          </w:p>
        </w:tc>
      </w:tr>
      <w:tr w:rsidR="00DF4C1F" w:rsidRPr="00DC599E" w:rsidTr="009A40AE">
        <w:trPr>
          <w:jc w:val="center"/>
        </w:trPr>
        <w:tc>
          <w:tcPr>
            <w:tcW w:w="7492" w:type="dxa"/>
          </w:tcPr>
          <w:p w:rsidR="00DF4C1F" w:rsidRPr="00DC599E" w:rsidRDefault="00DF4C1F" w:rsidP="00DC3892">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На  субрахунку  710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Дохід від первісного визнання та від зміни   вартості активів, які обліковуються за справедливою вартістю</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узагальнюється  інформація  про  доходи  від первісного визнання   та   зміни вартості активів, які  обліковуються  за справедливою  вартістю, зокрема дохід від первісного визнання сільськогосподарської  продукції  і  біологічних  активів,  та від зміни  справедливої  вартості  біологічних активів, який визначено відповідно до Положення  (стандарту)  бухгалтерського  обліку 30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Біологічні активи</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w:t>
            </w:r>
          </w:p>
          <w:p w:rsidR="00DF4C1F" w:rsidRPr="00DC599E" w:rsidRDefault="00DF4C1F" w:rsidP="00DC3892">
            <w:pPr>
              <w:pStyle w:val="HTML"/>
              <w:shd w:val="clear" w:color="auto" w:fill="FFFFFF"/>
              <w:jc w:val="both"/>
              <w:textAlignment w:val="baseline"/>
              <w:rPr>
                <w:rFonts w:ascii="Times New Roman" w:hAnsi="Times New Roman" w:cs="Times New Roman"/>
                <w:color w:val="000000"/>
                <w:sz w:val="24"/>
                <w:szCs w:val="24"/>
                <w:lang w:val="uk-UA"/>
              </w:rPr>
            </w:pPr>
          </w:p>
          <w:p w:rsidR="00DF4C1F" w:rsidRPr="00DC599E" w:rsidRDefault="00DF4C1F" w:rsidP="00DC3892">
            <w:pPr>
              <w:pStyle w:val="HTML"/>
              <w:shd w:val="clear" w:color="auto" w:fill="FFFFFF"/>
              <w:jc w:val="both"/>
              <w:textAlignment w:val="baseline"/>
              <w:rPr>
                <w:rFonts w:ascii="Times New Roman" w:hAnsi="Times New Roman" w:cs="Times New Roman"/>
                <w:color w:val="000000"/>
                <w:sz w:val="24"/>
                <w:szCs w:val="24"/>
                <w:lang w:val="uk-UA"/>
              </w:rPr>
            </w:pPr>
          </w:p>
        </w:tc>
        <w:tc>
          <w:tcPr>
            <w:tcW w:w="7294" w:type="dxa"/>
          </w:tcPr>
          <w:p w:rsidR="00DF4C1F" w:rsidRPr="00DC599E" w:rsidRDefault="00DF4C1F" w:rsidP="004C0460">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На субрахунку710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Дохід  від  первісного визнання та від зміни   вартості активів, які обліковуються за справедливою вартістю</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узагальнюється інформація про доходи  від первісного визнання   та зміни вартості активів, які  обліковуються за справедливою  вартістю, зокрема дохід від первісного визнання сільськогосподарської  продукції  і  біологічних  активів,  та від зміни  справедливої  вартості  біологічних активів, який визначено відповідно  до  Положення  (стандарту)  бухгалтерського  обліку 30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Біологічні активи</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w:t>
            </w:r>
            <w:r w:rsidRPr="00DC599E">
              <w:rPr>
                <w:rFonts w:ascii="Times New Roman" w:hAnsi="Times New Roman" w:cs="Times New Roman"/>
                <w:b/>
                <w:color w:val="000000"/>
                <w:sz w:val="24"/>
                <w:szCs w:val="24"/>
                <w:lang w:val="uk-UA"/>
              </w:rPr>
              <w:t>Підприємства, основною діяльністю яких є  торгівля цінними паперами, у цій статті відображають дохід від зміни вартості фінансових інструментів, які оцінюються за   справедливою вартістю.</w:t>
            </w:r>
          </w:p>
        </w:tc>
      </w:tr>
      <w:tr w:rsidR="00DF4C1F" w:rsidRPr="00DC599E" w:rsidTr="009A40AE">
        <w:trPr>
          <w:jc w:val="center"/>
        </w:trPr>
        <w:tc>
          <w:tcPr>
            <w:tcW w:w="7492" w:type="dxa"/>
          </w:tcPr>
          <w:p w:rsidR="00DF4C1F" w:rsidRPr="00DC599E" w:rsidRDefault="00DF4C1F" w:rsidP="004C0460">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На субрахунку  719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Інші  доходи від операційної діяльності</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узагальнюється  інформація  про  інші   доходи   від   операційної діяльності, які не знайшли свого відображення на інших субрахунках рахунку 71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Інший  операційний  дохід</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зокрема  про  доходи  від операцій    з    тарою,    від   інвентаризації   від   діяльності житлово-комунальних    і    обслуговуючих   господарств,   дитячих дошкільних  закладів,  будинків  відпочинку,  санаторіїв  та інших закладів  оздоровчого та культурного призначення підприємства, від роялті,  відсотки, отримані на залишки коштів на поточних рахунках в  банках,  тощо.  Підприємства,  які є страховиками відповідно до Закону України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Про страхування</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на цьому субрахунку узагальнюють  інформацію про інші доходи від страхової діяльності, зокрема   комісійні  винагороди  за  перестрахування,  частки  від страхових   сум  та  страхових  відшкодувань,  належні  до  сплати перестраховиками,  повернуті  суми  із  централізованих  страхових резервних  фондів,  повернуті  суми страхових резервів, інших, ніж резерв  незароблених  премій.  </w:t>
            </w:r>
          </w:p>
        </w:tc>
        <w:tc>
          <w:tcPr>
            <w:tcW w:w="7294" w:type="dxa"/>
          </w:tcPr>
          <w:p w:rsidR="00DF4C1F" w:rsidRPr="00DC599E" w:rsidRDefault="00DF4C1F" w:rsidP="004C0460">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На субрахунку  719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Інші  доходи від операційної діяльності</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узагальнюється  інформація  про  інші   доходи   від   операційної діяльності, які не знайшли свого відображення на інших субрахунках рахунку 71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Інший  операційний  дохід</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зокрема  про  доходи  від операцій    з    тарою,    від   інвентаризації   від   діяльності житлово-комунальних    і    обслуговуючих   господарств,   дитячих дошкільних  закладів,  будинків  відпочинку,  санаторіїв  та інших закладів  оздоровчого та культурного призначення підприємства, від роялті,  відсотки, отримані на залишки коштів на поточних рахунках в банках або </w:t>
            </w:r>
            <w:r w:rsidRPr="00DC599E">
              <w:rPr>
                <w:rFonts w:ascii="Times New Roman" w:hAnsi="Times New Roman" w:cs="Times New Roman"/>
                <w:b/>
                <w:sz w:val="24"/>
                <w:szCs w:val="24"/>
                <w:lang w:val="uk-UA"/>
              </w:rPr>
              <w:t xml:space="preserve">депозитних рахунках до запитання, </w:t>
            </w:r>
            <w:r w:rsidRPr="00DC599E">
              <w:rPr>
                <w:rFonts w:ascii="Times New Roman" w:hAnsi="Times New Roman" w:cs="Times New Roman"/>
                <w:color w:val="000000"/>
                <w:sz w:val="24"/>
                <w:szCs w:val="24"/>
                <w:lang w:val="uk-UA"/>
              </w:rPr>
              <w:t xml:space="preserve">  тощо. Підприємства,  які є страховиками відповідно до Закону України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Про страхування</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на цьому субрахунку узагальнюють  інформацію про інші доходи від страхової діяльності, зокрема комісійні  винагороди  за  перестрахування,  частки  від страхових   сум  та  страхових  відшкодувань,  належні  до  сплати перестраховиками,  повернуті  суми  із  централізованих  страхових резервних  фондів,  повернуті  суми страхових резервів, інших, ніж резерв  незароблених  премій.  </w:t>
            </w:r>
          </w:p>
        </w:tc>
      </w:tr>
      <w:tr w:rsidR="00DF4C1F" w:rsidRPr="00DC599E" w:rsidTr="00AD6150">
        <w:trPr>
          <w:jc w:val="center"/>
        </w:trPr>
        <w:tc>
          <w:tcPr>
            <w:tcW w:w="0" w:type="auto"/>
            <w:gridSpan w:val="2"/>
          </w:tcPr>
          <w:p w:rsidR="00DF4C1F" w:rsidRPr="00DC599E" w:rsidRDefault="00DF4C1F" w:rsidP="004C0460">
            <w:pPr>
              <w:pStyle w:val="HTML"/>
              <w:shd w:val="clear" w:color="auto" w:fill="FFFFFF"/>
              <w:jc w:val="center"/>
              <w:textAlignment w:val="baseline"/>
              <w:rPr>
                <w:rFonts w:ascii="Times New Roman" w:hAnsi="Times New Roman" w:cs="Times New Roman"/>
                <w:color w:val="000000"/>
                <w:sz w:val="24"/>
                <w:szCs w:val="24"/>
                <w:lang w:val="uk-UA"/>
              </w:rPr>
            </w:pPr>
            <w:r w:rsidRPr="00DC599E">
              <w:rPr>
                <w:rFonts w:ascii="Times New Roman" w:hAnsi="Times New Roman" w:cs="Times New Roman"/>
                <w:b/>
                <w:bCs/>
                <w:color w:val="000000"/>
                <w:sz w:val="24"/>
                <w:szCs w:val="24"/>
                <w:bdr w:val="none" w:sz="0" w:space="0" w:color="auto" w:frame="1"/>
                <w:lang w:val="uk-UA"/>
              </w:rPr>
              <w:t xml:space="preserve">Рахунок 73 </w:t>
            </w:r>
            <w:r w:rsidR="004C0460">
              <w:rPr>
                <w:rFonts w:ascii="Times New Roman" w:hAnsi="Times New Roman" w:cs="Times New Roman"/>
                <w:b/>
                <w:bCs/>
                <w:color w:val="000000"/>
                <w:sz w:val="24"/>
                <w:szCs w:val="24"/>
                <w:bdr w:val="none" w:sz="0" w:space="0" w:color="auto" w:frame="1"/>
                <w:lang w:val="uk-UA"/>
              </w:rPr>
              <w:t>«</w:t>
            </w:r>
            <w:r w:rsidRPr="00DC599E">
              <w:rPr>
                <w:rFonts w:ascii="Times New Roman" w:hAnsi="Times New Roman" w:cs="Times New Roman"/>
                <w:b/>
                <w:bCs/>
                <w:color w:val="000000"/>
                <w:sz w:val="24"/>
                <w:szCs w:val="24"/>
                <w:bdr w:val="none" w:sz="0" w:space="0" w:color="auto" w:frame="1"/>
                <w:lang w:val="uk-UA"/>
              </w:rPr>
              <w:t>Інші фінансові доходи</w:t>
            </w:r>
            <w:r w:rsidR="004C0460">
              <w:rPr>
                <w:rFonts w:ascii="Times New Roman" w:hAnsi="Times New Roman" w:cs="Times New Roman"/>
                <w:b/>
                <w:bCs/>
                <w:color w:val="000000"/>
                <w:sz w:val="24"/>
                <w:szCs w:val="24"/>
                <w:bdr w:val="none" w:sz="0" w:space="0" w:color="auto" w:frame="1"/>
                <w:lang w:val="uk-UA"/>
              </w:rPr>
              <w:t>»</w:t>
            </w:r>
          </w:p>
        </w:tc>
      </w:tr>
      <w:tr w:rsidR="00DF4C1F" w:rsidRPr="00DC599E" w:rsidTr="009A40AE">
        <w:trPr>
          <w:jc w:val="center"/>
        </w:trPr>
        <w:tc>
          <w:tcPr>
            <w:tcW w:w="7492" w:type="dxa"/>
          </w:tcPr>
          <w:p w:rsidR="00DF4C1F" w:rsidRPr="00DC599E" w:rsidRDefault="00DF4C1F" w:rsidP="008035B3">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На субрахунку  733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Інші  доходи  від  фінансових  операцій</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узагальнюється   інформація   про   інші   доходи  від  фінансової діяльності,  що  не  знайшли  відображення  на  інших  субрахунках рахунку  73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Інші  фінансові  доходи</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зокрема  про  доходи  від амортизації премії за випущеними облігаціями.</w:t>
            </w:r>
          </w:p>
          <w:p w:rsidR="00DF4C1F" w:rsidRPr="00DC599E" w:rsidRDefault="00DF4C1F" w:rsidP="008035B3">
            <w:pPr>
              <w:pStyle w:val="HTML"/>
              <w:shd w:val="clear" w:color="auto" w:fill="FFFFFF"/>
              <w:jc w:val="both"/>
              <w:textAlignment w:val="baseline"/>
              <w:rPr>
                <w:rFonts w:ascii="Times New Roman" w:hAnsi="Times New Roman" w:cs="Times New Roman"/>
                <w:color w:val="000000"/>
                <w:sz w:val="24"/>
                <w:szCs w:val="24"/>
                <w:lang w:val="uk-UA"/>
              </w:rPr>
            </w:pPr>
          </w:p>
        </w:tc>
        <w:tc>
          <w:tcPr>
            <w:tcW w:w="7294" w:type="dxa"/>
          </w:tcPr>
          <w:p w:rsidR="00DF4C1F" w:rsidRPr="00DC599E" w:rsidRDefault="001657D9" w:rsidP="004C0460">
            <w:pPr>
              <w:pStyle w:val="HTML"/>
              <w:shd w:val="clear" w:color="auto" w:fill="FFFFFF"/>
              <w:jc w:val="both"/>
              <w:textAlignment w:val="baseline"/>
              <w:rPr>
                <w:rFonts w:ascii="Times New Roman" w:hAnsi="Times New Roman" w:cs="Times New Roman"/>
                <w:b/>
                <w:color w:val="000000"/>
                <w:sz w:val="24"/>
                <w:szCs w:val="24"/>
                <w:lang w:val="uk-UA"/>
              </w:rPr>
            </w:pPr>
            <w:r w:rsidRPr="00DC599E">
              <w:rPr>
                <w:rFonts w:ascii="Times New Roman" w:hAnsi="Times New Roman" w:cs="Times New Roman"/>
                <w:color w:val="000000"/>
                <w:sz w:val="24"/>
                <w:szCs w:val="24"/>
                <w:lang w:val="uk-UA"/>
              </w:rPr>
              <w:t xml:space="preserve">На субрахунку  733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Інші  доходи  від  фінансових  операцій</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узагальнюється   інформація   про   інші   доходи  від  фінансової діяльності,  що  не  знайшли  відображення  на  інших  субрахунках рахунку  73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Інші  фінансові  доходи</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зокрема  про  доходи  від амортизації премії за випущеними облігаціями, </w:t>
            </w:r>
            <w:r w:rsidRPr="00DC599E">
              <w:rPr>
                <w:rFonts w:ascii="Times New Roman" w:hAnsi="Times New Roman" w:cs="Times New Roman"/>
                <w:b/>
                <w:color w:val="000000"/>
                <w:sz w:val="24"/>
                <w:szCs w:val="24"/>
                <w:lang w:val="uk-UA"/>
              </w:rPr>
              <w:t>а також відсотки, отримані за строковими депозитними вкладами.</w:t>
            </w:r>
          </w:p>
        </w:tc>
      </w:tr>
      <w:tr w:rsidR="001657D9" w:rsidRPr="00DC599E" w:rsidTr="00AD6150">
        <w:trPr>
          <w:jc w:val="center"/>
        </w:trPr>
        <w:tc>
          <w:tcPr>
            <w:tcW w:w="0" w:type="auto"/>
            <w:gridSpan w:val="2"/>
          </w:tcPr>
          <w:p w:rsidR="001657D9" w:rsidRPr="00DC599E" w:rsidRDefault="001657D9" w:rsidP="004C0460">
            <w:pPr>
              <w:pStyle w:val="HTML"/>
              <w:shd w:val="clear" w:color="auto" w:fill="FFFFFF"/>
              <w:jc w:val="center"/>
              <w:textAlignment w:val="baseline"/>
              <w:rPr>
                <w:rFonts w:ascii="Times New Roman" w:hAnsi="Times New Roman" w:cs="Times New Roman"/>
                <w:color w:val="000000"/>
                <w:sz w:val="24"/>
                <w:szCs w:val="24"/>
                <w:lang w:val="uk-UA"/>
              </w:rPr>
            </w:pPr>
            <w:r w:rsidRPr="00DC599E">
              <w:rPr>
                <w:rFonts w:ascii="Times New Roman" w:hAnsi="Times New Roman" w:cs="Times New Roman"/>
                <w:b/>
                <w:bCs/>
                <w:color w:val="000000"/>
                <w:sz w:val="24"/>
                <w:szCs w:val="24"/>
                <w:bdr w:val="none" w:sz="0" w:space="0" w:color="auto" w:frame="1"/>
                <w:lang w:val="uk-UA"/>
              </w:rPr>
              <w:t xml:space="preserve">Рахунок 74 </w:t>
            </w:r>
            <w:r w:rsidR="004C0460">
              <w:rPr>
                <w:rFonts w:ascii="Times New Roman" w:hAnsi="Times New Roman" w:cs="Times New Roman"/>
                <w:b/>
                <w:bCs/>
                <w:color w:val="000000"/>
                <w:sz w:val="24"/>
                <w:szCs w:val="24"/>
                <w:bdr w:val="none" w:sz="0" w:space="0" w:color="auto" w:frame="1"/>
                <w:lang w:val="uk-UA"/>
              </w:rPr>
              <w:t>«</w:t>
            </w:r>
            <w:r w:rsidRPr="00DC599E">
              <w:rPr>
                <w:rFonts w:ascii="Times New Roman" w:hAnsi="Times New Roman" w:cs="Times New Roman"/>
                <w:b/>
                <w:bCs/>
                <w:color w:val="000000"/>
                <w:sz w:val="24"/>
                <w:szCs w:val="24"/>
                <w:bdr w:val="none" w:sz="0" w:space="0" w:color="auto" w:frame="1"/>
                <w:lang w:val="uk-UA"/>
              </w:rPr>
              <w:t>Інші доходи</w:t>
            </w:r>
            <w:r w:rsidR="004C0460">
              <w:rPr>
                <w:rFonts w:ascii="Times New Roman" w:hAnsi="Times New Roman" w:cs="Times New Roman"/>
                <w:b/>
                <w:bCs/>
                <w:color w:val="000000"/>
                <w:sz w:val="24"/>
                <w:szCs w:val="24"/>
                <w:bdr w:val="none" w:sz="0" w:space="0" w:color="auto" w:frame="1"/>
                <w:lang w:val="uk-UA"/>
              </w:rPr>
              <w:t>»</w:t>
            </w:r>
          </w:p>
        </w:tc>
      </w:tr>
      <w:tr w:rsidR="00DF4C1F" w:rsidRPr="00DC599E" w:rsidTr="009A40AE">
        <w:trPr>
          <w:jc w:val="center"/>
        </w:trPr>
        <w:tc>
          <w:tcPr>
            <w:tcW w:w="7492" w:type="dxa"/>
          </w:tcPr>
          <w:p w:rsidR="00DF4C1F" w:rsidRPr="00DC599E" w:rsidRDefault="001657D9" w:rsidP="004C0460">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За кредитом   рахунку   74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Інші   доходи</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відображається збільшення (одержання) доходу,  за дебетом - належна сума непрямих податків  (податку  на  додану вартість,  </w:t>
            </w:r>
            <w:r w:rsidRPr="00DC599E">
              <w:rPr>
                <w:rFonts w:ascii="Times New Roman" w:hAnsi="Times New Roman" w:cs="Times New Roman"/>
                <w:b/>
                <w:color w:val="000000"/>
                <w:sz w:val="24"/>
                <w:szCs w:val="24"/>
                <w:lang w:val="uk-UA"/>
              </w:rPr>
              <w:t>акцизного збору</w:t>
            </w:r>
            <w:r w:rsidRPr="00DC599E">
              <w:rPr>
                <w:rFonts w:ascii="Times New Roman" w:hAnsi="Times New Roman" w:cs="Times New Roman"/>
                <w:color w:val="000000"/>
                <w:sz w:val="24"/>
                <w:szCs w:val="24"/>
                <w:lang w:val="uk-UA"/>
              </w:rPr>
              <w:t xml:space="preserve"> та інших зборів (обов'язкових платежів)) та списання в порядку закриття  на рахунок 79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Фінансові результати</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w:t>
            </w:r>
          </w:p>
        </w:tc>
        <w:tc>
          <w:tcPr>
            <w:tcW w:w="7294" w:type="dxa"/>
          </w:tcPr>
          <w:p w:rsidR="00DF4C1F" w:rsidRPr="00DC599E" w:rsidRDefault="001657D9" w:rsidP="004C0460">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За кредитом   рахунку   74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Інші   доходи</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відображається збільшення (одержання) доходу,  за дебетом - належна сума непрямих податків  (податку  на  додану вартість,  </w:t>
            </w:r>
            <w:r w:rsidRPr="00DC599E">
              <w:rPr>
                <w:rFonts w:ascii="Times New Roman" w:hAnsi="Times New Roman" w:cs="Times New Roman"/>
                <w:b/>
                <w:color w:val="000000"/>
                <w:sz w:val="24"/>
                <w:szCs w:val="24"/>
                <w:lang w:val="uk-UA"/>
              </w:rPr>
              <w:t>акцизного податку</w:t>
            </w:r>
            <w:r w:rsidRPr="00DC599E">
              <w:rPr>
                <w:rFonts w:ascii="Times New Roman" w:hAnsi="Times New Roman" w:cs="Times New Roman"/>
                <w:color w:val="000000"/>
                <w:sz w:val="24"/>
                <w:szCs w:val="24"/>
                <w:lang w:val="uk-UA"/>
              </w:rPr>
              <w:t xml:space="preserve"> та інших зборів (обов'язкових платежів)) та списання в порядку закриття  на рахунок 79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Фінансові результати</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w:t>
            </w:r>
          </w:p>
        </w:tc>
      </w:tr>
      <w:tr w:rsidR="00DF4C1F" w:rsidRPr="00DC599E" w:rsidTr="009A40AE">
        <w:trPr>
          <w:jc w:val="center"/>
        </w:trPr>
        <w:tc>
          <w:tcPr>
            <w:tcW w:w="7492" w:type="dxa"/>
          </w:tcPr>
          <w:p w:rsidR="001657D9" w:rsidRPr="00DC599E" w:rsidRDefault="001657D9" w:rsidP="001657D9">
            <w:pPr>
              <w:pStyle w:val="HTML"/>
              <w:shd w:val="clear" w:color="auto" w:fill="FFFFFF"/>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Рахунок 74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Інші доходи</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має такі субрахунки:</w:t>
            </w:r>
          </w:p>
          <w:p w:rsidR="0005326B" w:rsidRPr="00DC599E" w:rsidRDefault="0005326B" w:rsidP="001657D9">
            <w:pPr>
              <w:pStyle w:val="HTML"/>
              <w:shd w:val="clear" w:color="auto" w:fill="FFFFFF"/>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w:t>
            </w:r>
          </w:p>
          <w:p w:rsidR="00DF4C1F" w:rsidRPr="00DC599E" w:rsidRDefault="00DF4C1F" w:rsidP="0005326B">
            <w:pPr>
              <w:pStyle w:val="HTML"/>
              <w:shd w:val="clear" w:color="auto" w:fill="FFFFFF"/>
              <w:textAlignment w:val="baseline"/>
              <w:rPr>
                <w:rFonts w:ascii="Times New Roman" w:hAnsi="Times New Roman" w:cs="Times New Roman"/>
                <w:color w:val="000000"/>
                <w:sz w:val="24"/>
                <w:szCs w:val="24"/>
                <w:lang w:val="uk-UA"/>
              </w:rPr>
            </w:pPr>
            <w:bookmarkStart w:id="1" w:name="o1298"/>
            <w:bookmarkEnd w:id="1"/>
          </w:p>
        </w:tc>
        <w:tc>
          <w:tcPr>
            <w:tcW w:w="7294" w:type="dxa"/>
          </w:tcPr>
          <w:p w:rsidR="001657D9" w:rsidRPr="00DC599E" w:rsidRDefault="001657D9" w:rsidP="001657D9">
            <w:pPr>
              <w:pStyle w:val="HTML"/>
              <w:shd w:val="clear" w:color="auto" w:fill="FFFFFF"/>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Рахунок 74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Інші доходи</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має такі субрахунки:</w:t>
            </w:r>
          </w:p>
          <w:p w:rsidR="001657D9" w:rsidRPr="00DC599E" w:rsidRDefault="001657D9" w:rsidP="001657D9">
            <w:pPr>
              <w:pStyle w:val="HTML"/>
              <w:shd w:val="clear" w:color="auto" w:fill="FFFFFF"/>
              <w:textAlignment w:val="baseline"/>
              <w:rPr>
                <w:rFonts w:ascii="Times New Roman" w:hAnsi="Times New Roman" w:cs="Times New Roman"/>
                <w:b/>
                <w:color w:val="000000"/>
                <w:sz w:val="24"/>
                <w:szCs w:val="24"/>
                <w:lang w:val="uk-UA"/>
              </w:rPr>
            </w:pPr>
            <w:r w:rsidRPr="00DC599E">
              <w:rPr>
                <w:rFonts w:ascii="Times New Roman" w:hAnsi="Times New Roman" w:cs="Times New Roman"/>
                <w:b/>
                <w:color w:val="000000"/>
                <w:sz w:val="24"/>
                <w:szCs w:val="24"/>
                <w:lang w:val="uk-UA"/>
              </w:rPr>
              <w:t xml:space="preserve">740 </w:t>
            </w:r>
            <w:r w:rsidR="004C0460">
              <w:rPr>
                <w:rFonts w:ascii="Times New Roman" w:hAnsi="Times New Roman" w:cs="Times New Roman"/>
                <w:b/>
                <w:color w:val="000000"/>
                <w:sz w:val="24"/>
                <w:szCs w:val="24"/>
                <w:lang w:val="uk-UA"/>
              </w:rPr>
              <w:t>«</w:t>
            </w:r>
            <w:r w:rsidRPr="00DC599E">
              <w:rPr>
                <w:rFonts w:ascii="Times New Roman" w:hAnsi="Times New Roman" w:cs="Times New Roman"/>
                <w:b/>
                <w:color w:val="000000"/>
                <w:sz w:val="24"/>
                <w:szCs w:val="24"/>
                <w:lang w:val="uk-UA"/>
              </w:rPr>
              <w:t>Дохід від зміни вартості фінансових інструментів</w:t>
            </w:r>
            <w:r w:rsidR="004C0460">
              <w:rPr>
                <w:rFonts w:ascii="Times New Roman" w:hAnsi="Times New Roman" w:cs="Times New Roman"/>
                <w:b/>
                <w:color w:val="000000"/>
                <w:sz w:val="24"/>
                <w:szCs w:val="24"/>
                <w:lang w:val="uk-UA"/>
              </w:rPr>
              <w:t>»</w:t>
            </w:r>
          </w:p>
          <w:p w:rsidR="00DF4C1F" w:rsidRPr="00DC599E" w:rsidRDefault="0005326B" w:rsidP="0005326B">
            <w:pPr>
              <w:pStyle w:val="HTML"/>
              <w:shd w:val="clear" w:color="auto" w:fill="FFFFFF"/>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w:t>
            </w:r>
          </w:p>
        </w:tc>
      </w:tr>
      <w:tr w:rsidR="00DF4C1F" w:rsidRPr="00DC599E" w:rsidTr="009A40AE">
        <w:trPr>
          <w:jc w:val="center"/>
        </w:trPr>
        <w:tc>
          <w:tcPr>
            <w:tcW w:w="7492" w:type="dxa"/>
          </w:tcPr>
          <w:p w:rsidR="001657D9" w:rsidRPr="00DC599E" w:rsidRDefault="001657D9" w:rsidP="001657D9">
            <w:pPr>
              <w:pStyle w:val="HTML"/>
              <w:shd w:val="clear" w:color="auto" w:fill="FFFFFF"/>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746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Інші доходи</w:t>
            </w:r>
            <w:r w:rsidR="004C0460">
              <w:rPr>
                <w:rFonts w:ascii="Times New Roman" w:hAnsi="Times New Roman" w:cs="Times New Roman"/>
                <w:color w:val="000000"/>
                <w:sz w:val="24"/>
                <w:szCs w:val="24"/>
                <w:lang w:val="uk-UA"/>
              </w:rPr>
              <w:t>»</w:t>
            </w:r>
          </w:p>
          <w:p w:rsidR="001657D9" w:rsidRPr="00DC599E" w:rsidRDefault="0005326B" w:rsidP="001657D9">
            <w:pPr>
              <w:pStyle w:val="HTML"/>
              <w:shd w:val="clear" w:color="auto" w:fill="FFFFFF"/>
              <w:textAlignment w:val="baseline"/>
              <w:rPr>
                <w:rFonts w:ascii="Times New Roman" w:hAnsi="Times New Roman" w:cs="Times New Roman"/>
                <w:color w:val="000000"/>
                <w:sz w:val="24"/>
                <w:szCs w:val="24"/>
                <w:lang w:val="uk-UA"/>
              </w:rPr>
            </w:pPr>
            <w:bookmarkStart w:id="2" w:name="o1303"/>
            <w:bookmarkStart w:id="3" w:name="o1304"/>
            <w:bookmarkEnd w:id="2"/>
            <w:bookmarkEnd w:id="3"/>
            <w:r w:rsidRPr="00DC599E">
              <w:rPr>
                <w:rFonts w:ascii="Times New Roman" w:hAnsi="Times New Roman" w:cs="Times New Roman"/>
                <w:color w:val="000000"/>
                <w:sz w:val="24"/>
                <w:szCs w:val="24"/>
                <w:lang w:val="uk-UA"/>
              </w:rPr>
              <w:t>…</w:t>
            </w:r>
          </w:p>
          <w:p w:rsidR="00DF4C1F" w:rsidRPr="00DC599E" w:rsidRDefault="00DF4C1F" w:rsidP="00800A9B">
            <w:pPr>
              <w:pStyle w:val="HTML"/>
              <w:shd w:val="clear" w:color="auto" w:fill="FFFFFF"/>
              <w:textAlignment w:val="baseline"/>
              <w:rPr>
                <w:rFonts w:ascii="Times New Roman" w:hAnsi="Times New Roman" w:cs="Times New Roman"/>
                <w:color w:val="000000"/>
                <w:sz w:val="24"/>
                <w:szCs w:val="24"/>
                <w:lang w:val="uk-UA"/>
              </w:rPr>
            </w:pPr>
          </w:p>
        </w:tc>
        <w:tc>
          <w:tcPr>
            <w:tcW w:w="7294" w:type="dxa"/>
          </w:tcPr>
          <w:p w:rsidR="001657D9" w:rsidRPr="00DC599E" w:rsidRDefault="001657D9" w:rsidP="004C0460">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746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Інші доходи</w:t>
            </w:r>
            <w:r w:rsidR="004C0460">
              <w:rPr>
                <w:rFonts w:ascii="Times New Roman" w:hAnsi="Times New Roman" w:cs="Times New Roman"/>
                <w:color w:val="000000"/>
                <w:sz w:val="24"/>
                <w:szCs w:val="24"/>
                <w:lang w:val="uk-UA"/>
              </w:rPr>
              <w:t>»</w:t>
            </w:r>
          </w:p>
          <w:p w:rsidR="001657D9" w:rsidRPr="00DC599E" w:rsidRDefault="001657D9" w:rsidP="004C0460">
            <w:pPr>
              <w:pStyle w:val="HTML"/>
              <w:shd w:val="clear" w:color="auto" w:fill="FFFFFF"/>
              <w:ind w:firstLine="616"/>
              <w:jc w:val="both"/>
              <w:textAlignment w:val="baseline"/>
              <w:rPr>
                <w:rFonts w:ascii="Times New Roman" w:hAnsi="Times New Roman" w:cs="Times New Roman"/>
                <w:b/>
                <w:color w:val="000000"/>
                <w:sz w:val="24"/>
                <w:szCs w:val="24"/>
                <w:lang w:val="uk-UA"/>
              </w:rPr>
            </w:pPr>
            <w:r w:rsidRPr="00DC599E">
              <w:rPr>
                <w:rFonts w:ascii="Times New Roman" w:hAnsi="Times New Roman" w:cs="Times New Roman"/>
                <w:b/>
                <w:color w:val="000000"/>
                <w:sz w:val="24"/>
                <w:szCs w:val="24"/>
                <w:lang w:val="uk-UA"/>
              </w:rPr>
              <w:t xml:space="preserve">На субрахунку  740  </w:t>
            </w:r>
            <w:r w:rsidR="004C0460">
              <w:rPr>
                <w:rFonts w:ascii="Times New Roman" w:hAnsi="Times New Roman" w:cs="Times New Roman"/>
                <w:b/>
                <w:color w:val="000000"/>
                <w:sz w:val="24"/>
                <w:szCs w:val="24"/>
                <w:lang w:val="uk-UA"/>
              </w:rPr>
              <w:t>«</w:t>
            </w:r>
            <w:r w:rsidRPr="00DC599E">
              <w:rPr>
                <w:rFonts w:ascii="Times New Roman" w:hAnsi="Times New Roman" w:cs="Times New Roman"/>
                <w:b/>
                <w:color w:val="000000"/>
                <w:sz w:val="24"/>
                <w:szCs w:val="24"/>
                <w:lang w:val="uk-UA"/>
              </w:rPr>
              <w:t xml:space="preserve">Дохід  від  зміни  вартості  фінансових інструментів" підприємства,  крім тих,  основною діяльністю яких є торгівля цінними паперами,  узагальнюють інформацію про доходи від зміни балансової вартості фінансових інструментів,  які оцінюються за справедливою вартістю. </w:t>
            </w:r>
          </w:p>
          <w:p w:rsidR="00DF4C1F" w:rsidRPr="00DC599E" w:rsidRDefault="0005326B" w:rsidP="004C0460">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w:t>
            </w:r>
          </w:p>
        </w:tc>
      </w:tr>
      <w:tr w:rsidR="00140F60" w:rsidRPr="00DC599E" w:rsidTr="00FA2452">
        <w:trPr>
          <w:jc w:val="center"/>
        </w:trPr>
        <w:tc>
          <w:tcPr>
            <w:tcW w:w="0" w:type="auto"/>
            <w:gridSpan w:val="2"/>
          </w:tcPr>
          <w:p w:rsidR="00140F60" w:rsidRPr="004C0460" w:rsidRDefault="00140F60" w:rsidP="004C0460">
            <w:pPr>
              <w:pStyle w:val="HTML"/>
              <w:shd w:val="clear" w:color="auto" w:fill="FFFFFF"/>
              <w:jc w:val="center"/>
              <w:textAlignment w:val="baseline"/>
              <w:rPr>
                <w:rFonts w:ascii="Times New Roman" w:hAnsi="Times New Roman" w:cs="Times New Roman"/>
                <w:b/>
                <w:color w:val="000000"/>
                <w:sz w:val="24"/>
                <w:szCs w:val="24"/>
                <w:lang w:val="uk-UA"/>
              </w:rPr>
            </w:pPr>
            <w:r w:rsidRPr="004C0460">
              <w:rPr>
                <w:rFonts w:ascii="Times New Roman" w:hAnsi="Times New Roman" w:cs="Times New Roman"/>
                <w:b/>
                <w:color w:val="000000"/>
                <w:sz w:val="24"/>
                <w:szCs w:val="24"/>
                <w:lang w:val="uk-UA"/>
              </w:rPr>
              <w:t xml:space="preserve">Рахунок 94 </w:t>
            </w:r>
            <w:r w:rsidR="004C0460">
              <w:rPr>
                <w:rFonts w:ascii="Times New Roman" w:hAnsi="Times New Roman" w:cs="Times New Roman"/>
                <w:b/>
                <w:color w:val="000000"/>
                <w:sz w:val="24"/>
                <w:szCs w:val="24"/>
                <w:lang w:val="uk-UA"/>
              </w:rPr>
              <w:t>«</w:t>
            </w:r>
            <w:r w:rsidRPr="004C0460">
              <w:rPr>
                <w:rFonts w:ascii="Times New Roman" w:hAnsi="Times New Roman" w:cs="Times New Roman"/>
                <w:b/>
                <w:color w:val="000000"/>
                <w:sz w:val="24"/>
                <w:szCs w:val="24"/>
                <w:lang w:val="uk-UA"/>
              </w:rPr>
              <w:t>Інші витрати операційної діяльності</w:t>
            </w:r>
            <w:r w:rsidR="004C0460">
              <w:rPr>
                <w:rFonts w:ascii="Times New Roman" w:hAnsi="Times New Roman" w:cs="Times New Roman"/>
                <w:b/>
                <w:color w:val="000000"/>
                <w:sz w:val="24"/>
                <w:szCs w:val="24"/>
                <w:lang w:val="uk-UA"/>
              </w:rPr>
              <w:t>»</w:t>
            </w:r>
          </w:p>
        </w:tc>
      </w:tr>
      <w:tr w:rsidR="00DF4C1F" w:rsidRPr="00DC599E" w:rsidTr="009A40AE">
        <w:trPr>
          <w:jc w:val="center"/>
        </w:trPr>
        <w:tc>
          <w:tcPr>
            <w:tcW w:w="7492" w:type="dxa"/>
          </w:tcPr>
          <w:p w:rsidR="001657D9" w:rsidRPr="00DC599E" w:rsidRDefault="001657D9" w:rsidP="008035B3">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На  субрахунку  940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Витрати  від первісного визнання та від зміни   вартості   активів,   які  обліковуються  за  справедливою вартістю</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узагальнюється інформація  про  витрати  від  первісного визнання  та  від  зміни  вартості  активів,  які обліковуються за справедливою вартістю,  зокрема витрати  від  первісного  визнання сільськогосподарської продукції і біологічних активів та від зміни справедливої   вартості   біологічних   активів,   які   визначені відповідно  до  Положення  (стандарту)  бухгалтерського  обліку 30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Біологічні активи</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w:t>
            </w:r>
          </w:p>
          <w:p w:rsidR="00DF4C1F" w:rsidRPr="00DC599E" w:rsidRDefault="00DF4C1F" w:rsidP="008035B3">
            <w:pPr>
              <w:pStyle w:val="HTML"/>
              <w:shd w:val="clear" w:color="auto" w:fill="FFFFFF"/>
              <w:jc w:val="both"/>
              <w:textAlignment w:val="baseline"/>
              <w:rPr>
                <w:rFonts w:ascii="Times New Roman" w:hAnsi="Times New Roman" w:cs="Times New Roman"/>
                <w:color w:val="000000"/>
                <w:sz w:val="24"/>
                <w:szCs w:val="24"/>
                <w:lang w:val="uk-UA"/>
              </w:rPr>
            </w:pPr>
          </w:p>
        </w:tc>
        <w:tc>
          <w:tcPr>
            <w:tcW w:w="7294" w:type="dxa"/>
          </w:tcPr>
          <w:p w:rsidR="001657D9" w:rsidRPr="00DC599E" w:rsidRDefault="001657D9" w:rsidP="004C0460">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На  субрахунку  940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Витрати  від первісного визнання та від зміни   вартості   активів,   які  обліковуються  за  справедливою вартістю</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узагальнюється інформація  про  витрати  від  первісного визнання  та  від  зміни  вартості  активів,  які обліковуються за справедливою вартістю,  зокрема витрати  від  первісного  визнання сільськогосподарської продукції і біологічних активів та від зміни справедливої   вартості   біологічних   активів,   які   визначені відповідно  до  Положення  (стандарту)  бухгалтерського  обліку 30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Біологічні активи</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w:t>
            </w:r>
          </w:p>
          <w:p w:rsidR="00DF4C1F" w:rsidRPr="00F025CB" w:rsidRDefault="001657D9" w:rsidP="008035B3">
            <w:pPr>
              <w:pStyle w:val="HTML"/>
              <w:shd w:val="clear" w:color="auto" w:fill="FFFFFF"/>
              <w:ind w:firstLine="616"/>
              <w:jc w:val="both"/>
              <w:textAlignment w:val="baseline"/>
              <w:rPr>
                <w:rFonts w:ascii="Times New Roman" w:hAnsi="Times New Roman" w:cs="Times New Roman"/>
                <w:b/>
                <w:color w:val="000000"/>
                <w:sz w:val="24"/>
                <w:szCs w:val="24"/>
                <w:lang w:val="uk-UA"/>
              </w:rPr>
            </w:pPr>
            <w:r w:rsidRPr="00DC599E">
              <w:rPr>
                <w:rFonts w:ascii="Times New Roman" w:hAnsi="Times New Roman" w:cs="Times New Roman"/>
                <w:b/>
                <w:color w:val="000000"/>
                <w:sz w:val="24"/>
                <w:szCs w:val="24"/>
                <w:lang w:val="uk-UA"/>
              </w:rPr>
              <w:t>Підприємства,   основною   діяльністю  яких  є  торгівля  цінними паперами,  у цій статті відображають витрати  від  зміни  вартості фінансових    інструментів,   які   оцінюються   за   справедливою вартістю.</w:t>
            </w:r>
          </w:p>
        </w:tc>
      </w:tr>
      <w:tr w:rsidR="001657D9" w:rsidRPr="00DC599E" w:rsidTr="00AD6150">
        <w:trPr>
          <w:jc w:val="center"/>
        </w:trPr>
        <w:tc>
          <w:tcPr>
            <w:tcW w:w="0" w:type="auto"/>
            <w:gridSpan w:val="2"/>
          </w:tcPr>
          <w:p w:rsidR="001657D9" w:rsidRPr="00DC599E" w:rsidRDefault="001657D9" w:rsidP="004C0460">
            <w:pPr>
              <w:pStyle w:val="HTML"/>
              <w:shd w:val="clear" w:color="auto" w:fill="FFFFFF"/>
              <w:jc w:val="center"/>
              <w:textAlignment w:val="baseline"/>
              <w:rPr>
                <w:rFonts w:ascii="Times New Roman" w:hAnsi="Times New Roman" w:cs="Times New Roman"/>
                <w:color w:val="000000"/>
                <w:sz w:val="24"/>
                <w:szCs w:val="24"/>
                <w:lang w:val="uk-UA"/>
              </w:rPr>
            </w:pPr>
            <w:r w:rsidRPr="00DC599E">
              <w:rPr>
                <w:rFonts w:ascii="Times New Roman" w:hAnsi="Times New Roman" w:cs="Times New Roman"/>
                <w:b/>
                <w:bCs/>
                <w:color w:val="000000"/>
                <w:sz w:val="24"/>
                <w:szCs w:val="24"/>
                <w:bdr w:val="none" w:sz="0" w:space="0" w:color="auto" w:frame="1"/>
                <w:lang w:val="uk-UA"/>
              </w:rPr>
              <w:t xml:space="preserve">Рахунок 97 </w:t>
            </w:r>
            <w:r w:rsidR="004C0460">
              <w:rPr>
                <w:rFonts w:ascii="Times New Roman" w:hAnsi="Times New Roman" w:cs="Times New Roman"/>
                <w:b/>
                <w:bCs/>
                <w:color w:val="000000"/>
                <w:sz w:val="24"/>
                <w:szCs w:val="24"/>
                <w:bdr w:val="none" w:sz="0" w:space="0" w:color="auto" w:frame="1"/>
                <w:lang w:val="uk-UA"/>
              </w:rPr>
              <w:t>«</w:t>
            </w:r>
            <w:r w:rsidRPr="00DC599E">
              <w:rPr>
                <w:rFonts w:ascii="Times New Roman" w:hAnsi="Times New Roman" w:cs="Times New Roman"/>
                <w:b/>
                <w:bCs/>
                <w:color w:val="000000"/>
                <w:sz w:val="24"/>
                <w:szCs w:val="24"/>
                <w:bdr w:val="none" w:sz="0" w:space="0" w:color="auto" w:frame="1"/>
                <w:lang w:val="uk-UA"/>
              </w:rPr>
              <w:t>Інші витрати</w:t>
            </w:r>
            <w:r w:rsidR="004C0460">
              <w:rPr>
                <w:rFonts w:ascii="Times New Roman" w:hAnsi="Times New Roman" w:cs="Times New Roman"/>
                <w:b/>
                <w:bCs/>
                <w:color w:val="000000"/>
                <w:sz w:val="24"/>
                <w:szCs w:val="24"/>
                <w:bdr w:val="none" w:sz="0" w:space="0" w:color="auto" w:frame="1"/>
                <w:lang w:val="uk-UA"/>
              </w:rPr>
              <w:t>»</w:t>
            </w:r>
          </w:p>
        </w:tc>
      </w:tr>
      <w:tr w:rsidR="001657D9" w:rsidRPr="00DC599E" w:rsidTr="009A40AE">
        <w:trPr>
          <w:jc w:val="center"/>
        </w:trPr>
        <w:tc>
          <w:tcPr>
            <w:tcW w:w="7492" w:type="dxa"/>
          </w:tcPr>
          <w:p w:rsidR="00ED2FD7" w:rsidRPr="00DC599E" w:rsidRDefault="00ED2FD7" w:rsidP="008035B3">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Рахунок 97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Інші витрати</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має такі субрахунки:</w:t>
            </w:r>
          </w:p>
          <w:p w:rsidR="001657D9" w:rsidRPr="00DC599E" w:rsidRDefault="0005326B" w:rsidP="008035B3">
            <w:pPr>
              <w:pStyle w:val="HTML"/>
              <w:shd w:val="clear" w:color="auto" w:fill="FFFFFF"/>
              <w:jc w:val="both"/>
              <w:textAlignment w:val="baseline"/>
              <w:rPr>
                <w:rFonts w:ascii="Times New Roman" w:hAnsi="Times New Roman" w:cs="Times New Roman"/>
                <w:color w:val="000000"/>
                <w:sz w:val="24"/>
                <w:szCs w:val="24"/>
                <w:lang w:val="uk-UA"/>
              </w:rPr>
            </w:pPr>
            <w:bookmarkStart w:id="4" w:name="o1668"/>
            <w:bookmarkEnd w:id="4"/>
            <w:r w:rsidRPr="00DC599E">
              <w:rPr>
                <w:rFonts w:ascii="Times New Roman" w:hAnsi="Times New Roman" w:cs="Times New Roman"/>
                <w:color w:val="000000"/>
                <w:sz w:val="24"/>
                <w:szCs w:val="24"/>
                <w:lang w:val="uk-UA"/>
              </w:rPr>
              <w:t>…</w:t>
            </w:r>
          </w:p>
        </w:tc>
        <w:tc>
          <w:tcPr>
            <w:tcW w:w="7294" w:type="dxa"/>
          </w:tcPr>
          <w:p w:rsidR="00ED2FD7" w:rsidRPr="00DC599E" w:rsidRDefault="00ED2FD7" w:rsidP="008035B3">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Рахунок 97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Інші витрати</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має такі субрахунки:</w:t>
            </w:r>
          </w:p>
          <w:p w:rsidR="00ED2FD7" w:rsidRPr="00DC599E" w:rsidRDefault="00ED2FD7" w:rsidP="008035B3">
            <w:pPr>
              <w:pStyle w:val="HTML"/>
              <w:shd w:val="clear" w:color="auto" w:fill="FFFFFF"/>
              <w:jc w:val="both"/>
              <w:textAlignment w:val="baseline"/>
              <w:rPr>
                <w:rFonts w:ascii="Times New Roman" w:hAnsi="Times New Roman" w:cs="Times New Roman"/>
                <w:b/>
                <w:color w:val="000000"/>
                <w:sz w:val="24"/>
                <w:szCs w:val="24"/>
                <w:lang w:val="uk-UA"/>
              </w:rPr>
            </w:pPr>
            <w:r w:rsidRPr="00DC599E">
              <w:rPr>
                <w:rFonts w:ascii="Times New Roman" w:hAnsi="Times New Roman" w:cs="Times New Roman"/>
                <w:b/>
                <w:color w:val="000000"/>
                <w:sz w:val="24"/>
                <w:szCs w:val="24"/>
                <w:lang w:val="uk-UA"/>
              </w:rPr>
              <w:t xml:space="preserve">970 </w:t>
            </w:r>
            <w:r w:rsidR="004C0460">
              <w:rPr>
                <w:rFonts w:ascii="Times New Roman" w:hAnsi="Times New Roman" w:cs="Times New Roman"/>
                <w:b/>
                <w:color w:val="000000"/>
                <w:sz w:val="24"/>
                <w:szCs w:val="24"/>
                <w:lang w:val="uk-UA"/>
              </w:rPr>
              <w:t>«</w:t>
            </w:r>
            <w:r w:rsidRPr="00DC599E">
              <w:rPr>
                <w:rFonts w:ascii="Times New Roman" w:hAnsi="Times New Roman" w:cs="Times New Roman"/>
                <w:b/>
                <w:color w:val="000000"/>
                <w:sz w:val="24"/>
                <w:szCs w:val="24"/>
                <w:lang w:val="uk-UA"/>
              </w:rPr>
              <w:t>Витрати від зміни вартості фінансових інструментів</w:t>
            </w:r>
            <w:r w:rsidR="004C0460">
              <w:rPr>
                <w:rFonts w:ascii="Times New Roman" w:hAnsi="Times New Roman" w:cs="Times New Roman"/>
                <w:b/>
                <w:color w:val="000000"/>
                <w:sz w:val="24"/>
                <w:szCs w:val="24"/>
                <w:lang w:val="uk-UA"/>
              </w:rPr>
              <w:t>»</w:t>
            </w:r>
          </w:p>
          <w:p w:rsidR="001657D9" w:rsidRPr="00DC599E" w:rsidRDefault="0005326B" w:rsidP="008035B3">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w:t>
            </w:r>
          </w:p>
        </w:tc>
      </w:tr>
      <w:tr w:rsidR="00ED2FD7" w:rsidRPr="00DC599E" w:rsidTr="00AD6150">
        <w:trPr>
          <w:jc w:val="center"/>
        </w:trPr>
        <w:tc>
          <w:tcPr>
            <w:tcW w:w="0" w:type="auto"/>
            <w:gridSpan w:val="2"/>
          </w:tcPr>
          <w:p w:rsidR="00ED2FD7" w:rsidRPr="00DC599E" w:rsidRDefault="00ED2FD7" w:rsidP="004C0460">
            <w:pPr>
              <w:pStyle w:val="HTML"/>
              <w:shd w:val="clear" w:color="auto" w:fill="FFFFFF"/>
              <w:jc w:val="center"/>
              <w:textAlignment w:val="baseline"/>
              <w:rPr>
                <w:rFonts w:ascii="Times New Roman" w:hAnsi="Times New Roman" w:cs="Times New Roman"/>
                <w:color w:val="000000"/>
                <w:sz w:val="24"/>
                <w:szCs w:val="24"/>
                <w:lang w:val="uk-UA"/>
              </w:rPr>
            </w:pPr>
            <w:r w:rsidRPr="00DC599E">
              <w:rPr>
                <w:rFonts w:ascii="Times New Roman" w:hAnsi="Times New Roman" w:cs="Times New Roman"/>
                <w:b/>
                <w:bCs/>
                <w:color w:val="000000"/>
                <w:sz w:val="24"/>
                <w:szCs w:val="24"/>
                <w:bdr w:val="none" w:sz="0" w:space="0" w:color="auto" w:frame="1"/>
                <w:lang w:val="uk-UA"/>
              </w:rPr>
              <w:t xml:space="preserve">Рахунок 07 </w:t>
            </w:r>
            <w:r w:rsidR="004C0460">
              <w:rPr>
                <w:rFonts w:ascii="Times New Roman" w:hAnsi="Times New Roman" w:cs="Times New Roman"/>
                <w:b/>
                <w:bCs/>
                <w:color w:val="000000"/>
                <w:sz w:val="24"/>
                <w:szCs w:val="24"/>
                <w:bdr w:val="none" w:sz="0" w:space="0" w:color="auto" w:frame="1"/>
                <w:lang w:val="uk-UA"/>
              </w:rPr>
              <w:t>«</w:t>
            </w:r>
            <w:r w:rsidRPr="00DC599E">
              <w:rPr>
                <w:rFonts w:ascii="Times New Roman" w:hAnsi="Times New Roman" w:cs="Times New Roman"/>
                <w:b/>
                <w:bCs/>
                <w:color w:val="000000"/>
                <w:sz w:val="24"/>
                <w:szCs w:val="24"/>
                <w:bdr w:val="none" w:sz="0" w:space="0" w:color="auto" w:frame="1"/>
                <w:lang w:val="uk-UA"/>
              </w:rPr>
              <w:t>Списані активи</w:t>
            </w:r>
            <w:r w:rsidR="004C0460">
              <w:rPr>
                <w:rFonts w:ascii="Times New Roman" w:hAnsi="Times New Roman" w:cs="Times New Roman"/>
                <w:b/>
                <w:bCs/>
                <w:color w:val="000000"/>
                <w:sz w:val="24"/>
                <w:szCs w:val="24"/>
                <w:bdr w:val="none" w:sz="0" w:space="0" w:color="auto" w:frame="1"/>
                <w:lang w:val="uk-UA"/>
              </w:rPr>
              <w:t>»</w:t>
            </w:r>
          </w:p>
        </w:tc>
      </w:tr>
      <w:tr w:rsidR="001657D9" w:rsidRPr="00DC599E" w:rsidTr="009A40AE">
        <w:trPr>
          <w:jc w:val="center"/>
        </w:trPr>
        <w:tc>
          <w:tcPr>
            <w:tcW w:w="7492" w:type="dxa"/>
          </w:tcPr>
          <w:p w:rsidR="001657D9" w:rsidRPr="00DC599E" w:rsidRDefault="00ED2FD7" w:rsidP="004C0460">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Дебіторська заборгованість  остаточно списується з субрахунку 071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Списана дебіторська заборгованість</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після надходження суми  в порядку  відшкодування  з одночасними записами за дебетом рахунків 30 </w:t>
            </w:r>
            <w:r w:rsidR="004C0460">
              <w:rPr>
                <w:rFonts w:ascii="Times New Roman" w:hAnsi="Times New Roman" w:cs="Times New Roman"/>
                <w:b/>
                <w:color w:val="000000"/>
                <w:sz w:val="24"/>
                <w:szCs w:val="24"/>
                <w:lang w:val="uk-UA"/>
              </w:rPr>
              <w:t>«</w:t>
            </w:r>
            <w:r w:rsidRPr="00DC599E">
              <w:rPr>
                <w:rFonts w:ascii="Times New Roman" w:hAnsi="Times New Roman" w:cs="Times New Roman"/>
                <w:b/>
                <w:color w:val="000000"/>
                <w:sz w:val="24"/>
                <w:szCs w:val="24"/>
                <w:lang w:val="uk-UA"/>
              </w:rPr>
              <w:t>Каса</w:t>
            </w:r>
            <w:r w:rsidR="004C0460">
              <w:rPr>
                <w:rFonts w:ascii="Times New Roman" w:hAnsi="Times New Roman" w:cs="Times New Roman"/>
                <w:b/>
                <w:color w:val="000000"/>
                <w:sz w:val="24"/>
                <w:szCs w:val="24"/>
                <w:lang w:val="uk-UA"/>
              </w:rPr>
              <w:t>»</w:t>
            </w:r>
            <w:r w:rsidRPr="00DC599E">
              <w:rPr>
                <w:rFonts w:ascii="Times New Roman" w:hAnsi="Times New Roman" w:cs="Times New Roman"/>
                <w:color w:val="000000"/>
                <w:sz w:val="24"/>
                <w:szCs w:val="24"/>
                <w:lang w:val="uk-UA"/>
              </w:rPr>
              <w:t xml:space="preserve">,  31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Рахунки в банках</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чи інших рахунків обліку активів і  кредитом субрахунку 716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Відшкодування раніше списаних активів</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або у зв'язку з закінченням строку обліку такої заборгованості.</w:t>
            </w:r>
          </w:p>
        </w:tc>
        <w:tc>
          <w:tcPr>
            <w:tcW w:w="7294" w:type="dxa"/>
          </w:tcPr>
          <w:p w:rsidR="001657D9" w:rsidRPr="00DC599E" w:rsidRDefault="00ED2FD7" w:rsidP="004C0460">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Дебіторська заборгованість  остаточно списується з субрахунку 071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Списана дебіторська заборгованість</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після надходження суми  в порядку  відшкодування  з одночасними записами за дебетом рахунків 30 </w:t>
            </w:r>
            <w:r w:rsidR="004C0460">
              <w:rPr>
                <w:rFonts w:ascii="Times New Roman" w:hAnsi="Times New Roman" w:cs="Times New Roman"/>
                <w:b/>
                <w:color w:val="000000"/>
                <w:sz w:val="24"/>
                <w:szCs w:val="24"/>
                <w:lang w:val="uk-UA"/>
              </w:rPr>
              <w:t>«</w:t>
            </w:r>
            <w:r w:rsidRPr="00DC599E">
              <w:rPr>
                <w:rFonts w:ascii="Times New Roman" w:hAnsi="Times New Roman" w:cs="Times New Roman"/>
                <w:b/>
                <w:color w:val="000000"/>
                <w:sz w:val="24"/>
                <w:szCs w:val="24"/>
                <w:lang w:val="uk-UA"/>
              </w:rPr>
              <w:t>Готівка</w:t>
            </w:r>
            <w:r w:rsidR="004C0460">
              <w:rPr>
                <w:rFonts w:ascii="Times New Roman" w:hAnsi="Times New Roman" w:cs="Times New Roman"/>
                <w:b/>
                <w:color w:val="000000"/>
                <w:sz w:val="24"/>
                <w:szCs w:val="24"/>
                <w:lang w:val="uk-UA"/>
              </w:rPr>
              <w:t>»</w:t>
            </w:r>
            <w:r w:rsidRPr="00DC599E">
              <w:rPr>
                <w:rFonts w:ascii="Times New Roman" w:hAnsi="Times New Roman" w:cs="Times New Roman"/>
                <w:b/>
                <w:color w:val="000000"/>
                <w:sz w:val="24"/>
                <w:szCs w:val="24"/>
                <w:lang w:val="uk-UA"/>
              </w:rPr>
              <w:t>,</w:t>
            </w:r>
            <w:r w:rsidRPr="00DC599E">
              <w:rPr>
                <w:rFonts w:ascii="Times New Roman" w:hAnsi="Times New Roman" w:cs="Times New Roman"/>
                <w:color w:val="000000"/>
                <w:sz w:val="24"/>
                <w:szCs w:val="24"/>
                <w:lang w:val="uk-UA"/>
              </w:rPr>
              <w:t xml:space="preserve">  31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Рахунки в банках</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чи інших рахунків обліку активів і  кредитом субрахунку 716 </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Відшкодування раніше списаних активів</w:t>
            </w:r>
            <w:r w:rsidR="004C0460">
              <w:rPr>
                <w:rFonts w:ascii="Times New Roman" w:hAnsi="Times New Roman" w:cs="Times New Roman"/>
                <w:color w:val="000000"/>
                <w:sz w:val="24"/>
                <w:szCs w:val="24"/>
                <w:lang w:val="uk-UA"/>
              </w:rPr>
              <w:t>»</w:t>
            </w:r>
            <w:r w:rsidRPr="00DC599E">
              <w:rPr>
                <w:rFonts w:ascii="Times New Roman" w:hAnsi="Times New Roman" w:cs="Times New Roman"/>
                <w:color w:val="000000"/>
                <w:sz w:val="24"/>
                <w:szCs w:val="24"/>
                <w:lang w:val="uk-UA"/>
              </w:rPr>
              <w:t xml:space="preserve"> або у зв'язку з закінченням строку обліку такої заборгованості.</w:t>
            </w:r>
          </w:p>
        </w:tc>
      </w:tr>
      <w:tr w:rsidR="006E7E4B" w:rsidRPr="00DC599E" w:rsidTr="00AD6150">
        <w:trPr>
          <w:jc w:val="center"/>
        </w:trPr>
        <w:tc>
          <w:tcPr>
            <w:tcW w:w="0" w:type="auto"/>
            <w:gridSpan w:val="2"/>
          </w:tcPr>
          <w:p w:rsidR="006E7E4B" w:rsidRPr="00781828" w:rsidRDefault="006E7E4B" w:rsidP="004C0460">
            <w:pPr>
              <w:pStyle w:val="HTML"/>
              <w:shd w:val="clear" w:color="auto" w:fill="FFFFFF"/>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Кореспонденції рахунків з </w:t>
            </w:r>
            <w:r w:rsidR="009F5A27" w:rsidRPr="00DC599E">
              <w:rPr>
                <w:rFonts w:ascii="Times New Roman" w:hAnsi="Times New Roman" w:cs="Times New Roman"/>
                <w:color w:val="000000"/>
                <w:sz w:val="24"/>
                <w:szCs w:val="24"/>
                <w:lang w:val="uk-UA"/>
              </w:rPr>
              <w:t xml:space="preserve">словами </w:t>
            </w:r>
            <w:r w:rsidR="004C0460">
              <w:rPr>
                <w:rFonts w:ascii="Times New Roman" w:hAnsi="Times New Roman" w:cs="Times New Roman"/>
                <w:b/>
                <w:color w:val="000000"/>
                <w:sz w:val="24"/>
                <w:szCs w:val="24"/>
                <w:lang w:val="uk-UA"/>
              </w:rPr>
              <w:t>«</w:t>
            </w:r>
            <w:r w:rsidRPr="00DC599E">
              <w:rPr>
                <w:rFonts w:ascii="Times New Roman" w:hAnsi="Times New Roman" w:cs="Times New Roman"/>
                <w:b/>
                <w:color w:val="000000"/>
                <w:sz w:val="24"/>
                <w:szCs w:val="24"/>
                <w:lang w:val="uk-UA"/>
              </w:rPr>
              <w:t>Розрахунки з оплати  праці</w:t>
            </w:r>
            <w:r w:rsidR="004C0460">
              <w:rPr>
                <w:rFonts w:ascii="Times New Roman" w:hAnsi="Times New Roman" w:cs="Times New Roman"/>
                <w:b/>
                <w:color w:val="000000"/>
                <w:sz w:val="24"/>
                <w:szCs w:val="24"/>
                <w:lang w:val="uk-UA"/>
              </w:rPr>
              <w:t>»</w:t>
            </w:r>
            <w:r w:rsidRPr="00DC599E">
              <w:rPr>
                <w:rFonts w:ascii="Times New Roman" w:hAnsi="Times New Roman" w:cs="Times New Roman"/>
                <w:b/>
                <w:color w:val="000000"/>
                <w:sz w:val="24"/>
                <w:szCs w:val="24"/>
                <w:lang w:val="uk-UA"/>
              </w:rPr>
              <w:t xml:space="preserve"> </w:t>
            </w:r>
            <w:r w:rsidRPr="00DC599E">
              <w:rPr>
                <w:rFonts w:ascii="Times New Roman" w:hAnsi="Times New Roman" w:cs="Times New Roman"/>
                <w:color w:val="000000"/>
                <w:sz w:val="24"/>
                <w:szCs w:val="24"/>
                <w:lang w:val="uk-UA"/>
              </w:rPr>
              <w:t xml:space="preserve">замінити словами </w:t>
            </w:r>
            <w:r w:rsidR="004C0460">
              <w:rPr>
                <w:rFonts w:ascii="Times New Roman" w:hAnsi="Times New Roman" w:cs="Times New Roman"/>
                <w:b/>
                <w:color w:val="000000"/>
                <w:sz w:val="24"/>
                <w:szCs w:val="24"/>
                <w:lang w:val="uk-UA"/>
              </w:rPr>
              <w:t>«</w:t>
            </w:r>
            <w:r w:rsidRPr="00DC599E">
              <w:rPr>
                <w:rFonts w:ascii="Times New Roman" w:hAnsi="Times New Roman" w:cs="Times New Roman"/>
                <w:b/>
                <w:color w:val="000000"/>
                <w:sz w:val="24"/>
                <w:szCs w:val="24"/>
                <w:lang w:val="uk-UA"/>
              </w:rPr>
              <w:t>Розрахунки за виплатами працівникам</w:t>
            </w:r>
            <w:r w:rsidR="004C0460">
              <w:rPr>
                <w:rFonts w:ascii="Times New Roman" w:hAnsi="Times New Roman" w:cs="Times New Roman"/>
                <w:b/>
                <w:color w:val="000000"/>
                <w:sz w:val="24"/>
                <w:szCs w:val="24"/>
                <w:lang w:val="uk-UA"/>
              </w:rPr>
              <w:t>».</w:t>
            </w:r>
          </w:p>
        </w:tc>
      </w:tr>
      <w:tr w:rsidR="003C1412" w:rsidRPr="00DC599E" w:rsidTr="00AD6150">
        <w:trPr>
          <w:jc w:val="center"/>
        </w:trPr>
        <w:tc>
          <w:tcPr>
            <w:tcW w:w="0" w:type="auto"/>
            <w:gridSpan w:val="2"/>
          </w:tcPr>
          <w:p w:rsidR="003C1412" w:rsidRPr="00DC599E" w:rsidRDefault="00B13FC1" w:rsidP="003C1412">
            <w:pPr>
              <w:jc w:val="center"/>
              <w:rPr>
                <w:b/>
              </w:rPr>
            </w:pPr>
            <w:r>
              <w:rPr>
                <w:b/>
              </w:rPr>
              <w:t>Положення (стандарт</w:t>
            </w:r>
            <w:r w:rsidR="003C1412" w:rsidRPr="00DC599E">
              <w:rPr>
                <w:b/>
              </w:rPr>
              <w:t>) бухгалтерського обліку 11</w:t>
            </w:r>
            <w:r w:rsidR="00A628DA">
              <w:rPr>
                <w:b/>
              </w:rPr>
              <w:t xml:space="preserve">  "Зобов'язання",  затверджено</w:t>
            </w:r>
            <w:r w:rsidR="003C1412" w:rsidRPr="00DC599E">
              <w:rPr>
                <w:b/>
              </w:rPr>
              <w:t xml:space="preserve">  наказом Міністерства фінансів   України  від  31  січня  2000  року  N  20</w:t>
            </w:r>
            <w:r w:rsidR="00A628DA">
              <w:rPr>
                <w:b/>
              </w:rPr>
              <w:t>,  зареєстровано</w:t>
            </w:r>
            <w:r w:rsidR="003C1412" w:rsidRPr="00DC599E">
              <w:rPr>
                <w:b/>
              </w:rPr>
              <w:t xml:space="preserve">  в  Міністерстві  юстиції  України 11 лютого   2000   року   за   N  85/4306  (із  змінами)</w:t>
            </w:r>
          </w:p>
        </w:tc>
      </w:tr>
      <w:tr w:rsidR="0005326B" w:rsidRPr="00DC599E" w:rsidTr="009A40AE">
        <w:trPr>
          <w:jc w:val="center"/>
        </w:trPr>
        <w:tc>
          <w:tcPr>
            <w:tcW w:w="7492" w:type="dxa"/>
          </w:tcPr>
          <w:p w:rsidR="003C1412" w:rsidRPr="00DC599E" w:rsidRDefault="003C1412" w:rsidP="008035B3">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14. … </w:t>
            </w:r>
          </w:p>
          <w:p w:rsidR="0005326B" w:rsidRPr="00DC599E" w:rsidRDefault="0005326B" w:rsidP="008035B3">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Сума  забезпечення на виплату відпусток визначається щомісяця як  добуток  фактично  нарахованої  заробітної плати працівникам і відсотка, обчисленого як відношення річної планової суми на оплату відпусток  до  загального планового фонду оплати праці. </w:t>
            </w:r>
          </w:p>
        </w:tc>
        <w:tc>
          <w:tcPr>
            <w:tcW w:w="7294" w:type="dxa"/>
          </w:tcPr>
          <w:p w:rsidR="003C1412" w:rsidRPr="00DC599E" w:rsidRDefault="003C1412" w:rsidP="008035B3">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14. …</w:t>
            </w:r>
          </w:p>
          <w:p w:rsidR="0005326B" w:rsidRPr="00DC599E" w:rsidRDefault="0005326B" w:rsidP="008035B3">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Сума  забезпечення на виплату відпусток визначається щомісяця як  добуток  фактично  нарахованої  заробітної плати працівникам і відсотка, обчисленого як відношення річної планової суми на оплату відпусток  до  загального планового фонду оплати праці </w:t>
            </w:r>
            <w:r w:rsidRPr="00DC599E">
              <w:rPr>
                <w:rFonts w:ascii="Times New Roman" w:hAnsi="Times New Roman" w:cs="Times New Roman"/>
                <w:b/>
                <w:color w:val="000000"/>
                <w:sz w:val="24"/>
                <w:szCs w:val="24"/>
                <w:lang w:val="uk-UA"/>
              </w:rPr>
              <w:t>з урахуванням відповідної суми відрахувань</w:t>
            </w:r>
            <w:r w:rsidR="003C1412" w:rsidRPr="00DC599E">
              <w:rPr>
                <w:rFonts w:ascii="Times New Roman" w:hAnsi="Times New Roman" w:cs="Times New Roman"/>
                <w:b/>
                <w:color w:val="000000"/>
                <w:sz w:val="24"/>
                <w:szCs w:val="24"/>
                <w:lang w:val="uk-UA"/>
              </w:rPr>
              <w:t xml:space="preserve"> на загальнообов’язкове державне соціальне страхування</w:t>
            </w:r>
            <w:r w:rsidRPr="00DC599E">
              <w:rPr>
                <w:rFonts w:ascii="Times New Roman" w:hAnsi="Times New Roman" w:cs="Times New Roman"/>
                <w:color w:val="000000"/>
                <w:sz w:val="24"/>
                <w:szCs w:val="24"/>
                <w:lang w:val="uk-UA"/>
              </w:rPr>
              <w:t>.</w:t>
            </w:r>
          </w:p>
        </w:tc>
      </w:tr>
      <w:tr w:rsidR="00AB0C3A" w:rsidRPr="00DC599E" w:rsidTr="00AD6150">
        <w:trPr>
          <w:jc w:val="center"/>
        </w:trPr>
        <w:tc>
          <w:tcPr>
            <w:tcW w:w="0" w:type="auto"/>
            <w:gridSpan w:val="2"/>
          </w:tcPr>
          <w:p w:rsidR="00AB0C3A" w:rsidRPr="00DC599E" w:rsidRDefault="00B13FC1" w:rsidP="008035B3">
            <w:pPr>
              <w:jc w:val="center"/>
              <w:rPr>
                <w:b/>
              </w:rPr>
            </w:pPr>
            <w:r>
              <w:rPr>
                <w:b/>
              </w:rPr>
              <w:t>Положення  (стандарт</w:t>
            </w:r>
            <w:r w:rsidR="00AB0C3A" w:rsidRPr="00DC599E">
              <w:rPr>
                <w:b/>
              </w:rPr>
              <w:t>)  бухгалтерського   обліку  25 "Фінансовий звіт суб'єкта  малого  підприємництва",  затверджене наказом Міністерства фінансів України від 25 лютого 2000 року N 39,  зареєстроване  в  Міністерстві  юстиції  України 15 березня 2000 року за N 161/4382 (редакція наказу Міністерства фінансів України від 24 січня 2011 року N 25)</w:t>
            </w:r>
          </w:p>
        </w:tc>
      </w:tr>
      <w:tr w:rsidR="00AB0C3A" w:rsidRPr="00DC599E" w:rsidTr="00AD6150">
        <w:trPr>
          <w:jc w:val="center"/>
        </w:trPr>
        <w:tc>
          <w:tcPr>
            <w:tcW w:w="0" w:type="auto"/>
            <w:gridSpan w:val="2"/>
          </w:tcPr>
          <w:p w:rsidR="00AB0C3A" w:rsidRPr="00DC599E" w:rsidRDefault="00AB0C3A" w:rsidP="00AB0C3A">
            <w:pPr>
              <w:pStyle w:val="HTML"/>
              <w:shd w:val="clear" w:color="auto" w:fill="FFFFFF"/>
              <w:jc w:val="center"/>
              <w:textAlignment w:val="baseline"/>
              <w:rPr>
                <w:rFonts w:ascii="Times New Roman" w:hAnsi="Times New Roman" w:cs="Times New Roman"/>
                <w:b/>
                <w:color w:val="000000"/>
                <w:sz w:val="24"/>
                <w:szCs w:val="24"/>
                <w:lang w:val="uk-UA"/>
              </w:rPr>
            </w:pPr>
            <w:r w:rsidRPr="00DC599E">
              <w:rPr>
                <w:rFonts w:ascii="Times New Roman" w:hAnsi="Times New Roman" w:cs="Times New Roman"/>
                <w:b/>
                <w:color w:val="000000"/>
                <w:sz w:val="24"/>
                <w:szCs w:val="24"/>
                <w:lang w:val="uk-UA"/>
              </w:rPr>
              <w:t>Розділ I</w:t>
            </w:r>
            <w:r w:rsidR="00DC599E" w:rsidRPr="00DC599E">
              <w:rPr>
                <w:rFonts w:ascii="Times New Roman" w:hAnsi="Times New Roman" w:cs="Times New Roman"/>
                <w:b/>
                <w:color w:val="000000"/>
                <w:sz w:val="24"/>
                <w:szCs w:val="24"/>
                <w:lang w:val="uk-UA"/>
              </w:rPr>
              <w:t xml:space="preserve"> Загальні положення</w:t>
            </w:r>
          </w:p>
        </w:tc>
      </w:tr>
      <w:tr w:rsidR="0005326B" w:rsidRPr="00DC599E" w:rsidTr="009A40AE">
        <w:trPr>
          <w:jc w:val="center"/>
        </w:trPr>
        <w:tc>
          <w:tcPr>
            <w:tcW w:w="7492" w:type="dxa"/>
          </w:tcPr>
          <w:p w:rsidR="00106077" w:rsidRPr="00DC599E" w:rsidRDefault="00106077" w:rsidP="008035B3">
            <w:pPr>
              <w:jc w:val="both"/>
            </w:pPr>
            <w:r w:rsidRPr="00DC599E">
              <w:t>2. …</w:t>
            </w:r>
          </w:p>
          <w:p w:rsidR="0005326B" w:rsidRPr="00DC599E" w:rsidRDefault="00106077" w:rsidP="008035B3">
            <w:pPr>
              <w:jc w:val="both"/>
            </w:pPr>
            <w:r w:rsidRPr="00DC599E">
              <w:t xml:space="preserve">суб'єктами  малого  підприємництва  - юридичними особами, які визнані  такими відповідно до законодавства; </w:t>
            </w:r>
          </w:p>
        </w:tc>
        <w:tc>
          <w:tcPr>
            <w:tcW w:w="7294" w:type="dxa"/>
          </w:tcPr>
          <w:p w:rsidR="00106077" w:rsidRPr="00DC599E" w:rsidRDefault="00106077" w:rsidP="008035B3">
            <w:pPr>
              <w:jc w:val="both"/>
            </w:pPr>
            <w:r w:rsidRPr="00DC599E">
              <w:t>2. …</w:t>
            </w:r>
          </w:p>
          <w:p w:rsidR="0005326B" w:rsidRPr="00DC599E" w:rsidRDefault="00106077" w:rsidP="008035B3">
            <w:pPr>
              <w:jc w:val="both"/>
            </w:pPr>
            <w:r w:rsidRPr="00DC599E">
              <w:t xml:space="preserve">суб'єктами  малого  підприємництва  - юридичними особами, які визнані  такими відповідно до законодавства </w:t>
            </w:r>
            <w:r w:rsidRPr="00DC599E">
              <w:rPr>
                <w:b/>
              </w:rPr>
              <w:t>крім  тих,  які складають Спрощений фінансовий звіт суб'єкта малого підприємництва</w:t>
            </w:r>
            <w:r w:rsidRPr="00DC599E">
              <w:t>;</w:t>
            </w:r>
          </w:p>
        </w:tc>
      </w:tr>
      <w:tr w:rsidR="0005326B" w:rsidRPr="00DC599E" w:rsidTr="009A40AE">
        <w:trPr>
          <w:jc w:val="center"/>
        </w:trPr>
        <w:tc>
          <w:tcPr>
            <w:tcW w:w="7492" w:type="dxa"/>
          </w:tcPr>
          <w:p w:rsidR="00106077" w:rsidRPr="00DC599E" w:rsidRDefault="00106077" w:rsidP="008035B3">
            <w:pPr>
              <w:jc w:val="both"/>
            </w:pPr>
            <w:r w:rsidRPr="00DC599E">
              <w:t>2. …</w:t>
            </w:r>
          </w:p>
          <w:p w:rsidR="0005326B" w:rsidRPr="00DC599E" w:rsidRDefault="00106077" w:rsidP="008035B3">
            <w:pPr>
              <w:jc w:val="both"/>
            </w:pPr>
            <w:r w:rsidRPr="00DC599E">
              <w:t xml:space="preserve">суб'єктами малого підприємництва  -  юридичними  особами,  що відповідають   критеріям,  визначеним  пунктом  154.6  статті  154 розділу III Податкового кодексу України,  та  мають право  на застосування спрощеного бухгалтерського обліку доходів і витрат,  </w:t>
            </w:r>
            <w:r w:rsidRPr="00DC599E">
              <w:rPr>
                <w:b/>
                <w:strike/>
              </w:rPr>
              <w:t>а  також  платниками  єдиного  податку,  які відповідають критеріям, визначеним підпунктом 4 пункту 291.4 статті 291 глави 1 розділу  XIV  Податкового  кодексу  України</w:t>
            </w:r>
            <w:r w:rsidRPr="00DC599E">
              <w:t xml:space="preserve">. </w:t>
            </w:r>
          </w:p>
        </w:tc>
        <w:tc>
          <w:tcPr>
            <w:tcW w:w="7294" w:type="dxa"/>
          </w:tcPr>
          <w:p w:rsidR="00106077" w:rsidRPr="00DC599E" w:rsidRDefault="00106077" w:rsidP="008035B3">
            <w:pPr>
              <w:jc w:val="both"/>
            </w:pPr>
            <w:r w:rsidRPr="00DC599E">
              <w:t>2. …</w:t>
            </w:r>
          </w:p>
          <w:p w:rsidR="0005326B" w:rsidRPr="00DC599E" w:rsidRDefault="00106077" w:rsidP="008035B3">
            <w:pPr>
              <w:jc w:val="both"/>
            </w:pPr>
            <w:r w:rsidRPr="00DC599E">
              <w:t>суб'єктами малого підприємництва  -  юридичними  особами,  що відповідають   критеріям,  визначеним  пунктом  154.6  статті  154 розділу III Податкового кодексу України,  та  мають право  на застосування спрощеного бухгалтерського обліку доходів і витрат.</w:t>
            </w:r>
          </w:p>
        </w:tc>
      </w:tr>
      <w:tr w:rsidR="0005326B" w:rsidRPr="00DC599E" w:rsidTr="009A40AE">
        <w:trPr>
          <w:jc w:val="center"/>
        </w:trPr>
        <w:tc>
          <w:tcPr>
            <w:tcW w:w="7492" w:type="dxa"/>
          </w:tcPr>
          <w:p w:rsidR="0005326B" w:rsidRPr="00DC599E" w:rsidRDefault="00106077" w:rsidP="008035B3">
            <w:pPr>
              <w:jc w:val="both"/>
            </w:pPr>
            <w:r w:rsidRPr="00DC599E">
              <w:t>2. …</w:t>
            </w:r>
          </w:p>
          <w:p w:rsidR="00106077" w:rsidRPr="00DC599E" w:rsidRDefault="00106077" w:rsidP="008035B3">
            <w:pPr>
              <w:jc w:val="both"/>
            </w:pPr>
            <w:r w:rsidRPr="00DC599E">
              <w:t xml:space="preserve">суб'єктами малого підприємництва  -  юридичними  особами,  що відповідають   критеріям,  визначеним  пунктом  154.6  статті  154 розділу III Податкового кодексу України,  та  мають право  на застосування спрощеного бухгалтерського обліку доходів і витрат,  </w:t>
            </w:r>
            <w:r w:rsidRPr="00DC599E">
              <w:rPr>
                <w:b/>
                <w:strike/>
              </w:rPr>
              <w:t xml:space="preserve">а  </w:t>
            </w:r>
            <w:r w:rsidRPr="00DC599E">
              <w:rPr>
                <w:strike/>
              </w:rPr>
              <w:t>також  платниками  єдиного  податку,  які відповідають критеріям, визначеним підпунктом 4 пункту 291.4 статті 291 глави 1 розділу  XIV  Податкового  кодексу  України</w:t>
            </w:r>
            <w:r w:rsidRPr="00DC599E">
              <w:t>.</w:t>
            </w:r>
          </w:p>
          <w:p w:rsidR="00106077" w:rsidRPr="00DC599E" w:rsidRDefault="00106077" w:rsidP="008035B3">
            <w:pPr>
              <w:jc w:val="both"/>
            </w:pPr>
          </w:p>
        </w:tc>
        <w:tc>
          <w:tcPr>
            <w:tcW w:w="7294" w:type="dxa"/>
          </w:tcPr>
          <w:p w:rsidR="00106077" w:rsidRPr="00DC599E" w:rsidRDefault="00106077" w:rsidP="008035B3">
            <w:pPr>
              <w:jc w:val="both"/>
            </w:pPr>
            <w:r w:rsidRPr="00DC599E">
              <w:t xml:space="preserve">2. … </w:t>
            </w:r>
          </w:p>
          <w:p w:rsidR="00106077" w:rsidRPr="00DC599E" w:rsidRDefault="00106077" w:rsidP="008035B3">
            <w:pPr>
              <w:jc w:val="both"/>
            </w:pPr>
            <w:r w:rsidRPr="00DC599E">
              <w:t xml:space="preserve">суб'єктами малого підприємництва  -  юридичними  особами,  що відповідають   критеріям,  визначеним  пунктом  154.6  статті  154 розділу III Податкового кодексу України,  та  мають право  на застосування спрощеного бухгалтерського обліку доходів і витрат,  </w:t>
            </w:r>
            <w:r w:rsidRPr="00DC599E">
              <w:rPr>
                <w:b/>
                <w:strike/>
              </w:rPr>
              <w:t xml:space="preserve">а  </w:t>
            </w:r>
            <w:r w:rsidRPr="00DC599E">
              <w:rPr>
                <w:strike/>
              </w:rPr>
              <w:t>також  платниками  єдиного  податку,  які відповідають критеріям, визначеним підпунктом 4 пункту 291.4 статті 291 глави 1 розділу  XIV  Податкового  кодексу  України</w:t>
            </w:r>
            <w:r w:rsidRPr="00DC599E">
              <w:t>.</w:t>
            </w:r>
          </w:p>
          <w:p w:rsidR="0005326B" w:rsidRPr="00DC599E" w:rsidRDefault="00106077" w:rsidP="008035B3">
            <w:pPr>
              <w:ind w:firstLine="616"/>
              <w:jc w:val="both"/>
              <w:rPr>
                <w:b/>
              </w:rPr>
            </w:pPr>
            <w:r w:rsidRPr="00DC599E">
              <w:rPr>
                <w:b/>
              </w:rPr>
              <w:t>суб'єктами малого підприємництва -  юридичними  особами,  що відповідають критеріям мікропідприємництва.</w:t>
            </w:r>
          </w:p>
        </w:tc>
      </w:tr>
      <w:tr w:rsidR="0005326B" w:rsidRPr="00DC599E" w:rsidTr="009A40AE">
        <w:trPr>
          <w:jc w:val="center"/>
        </w:trPr>
        <w:tc>
          <w:tcPr>
            <w:tcW w:w="7492" w:type="dxa"/>
          </w:tcPr>
          <w:p w:rsidR="00DC599E" w:rsidRPr="00DC599E" w:rsidRDefault="00DC599E" w:rsidP="008035B3">
            <w:pPr>
              <w:jc w:val="both"/>
            </w:pPr>
            <w:r w:rsidRPr="00DC599E">
              <w:t xml:space="preserve">3. Новостворені  підприємства   та   підприємства,   які   за результатами  діяльності  за  минулий  рік відповідають критеріям, наведеним у пункті 2  цього  розділу,  застосовують  це  Положення (стандарт)  у  поточному  (звітному)  році.  Якщо  підприємство за </w:t>
            </w:r>
            <w:r w:rsidRPr="00DC599E">
              <w:br/>
              <w:t xml:space="preserve">результатами   діяльності   протягом    року    втратило    ознаки відповідності  критеріям,  наведеним у пункті 2 цього розділу,  то фінансовий звіт таким підприємством складається за звітний період, у якому це відбулось, і подальші періоди поточного (звітного) року відповідно  до  </w:t>
            </w:r>
            <w:r w:rsidRPr="00DC599E">
              <w:rPr>
                <w:b/>
              </w:rPr>
              <w:t xml:space="preserve">положень  (стандартів)   бухгалтерського   обліку, </w:t>
            </w:r>
            <w:r w:rsidRPr="00DC599E">
              <w:rPr>
                <w:b/>
              </w:rPr>
              <w:br/>
              <w:t>затверджених наказом  Міністерства  фінансів  України від 31.03.99 N 87,  зареєстрованим у Міністерстві юстиції  України 21.06.99 за N 391/3684</w:t>
            </w:r>
            <w:r w:rsidRPr="00DC599E">
              <w:t xml:space="preserve">. </w:t>
            </w:r>
          </w:p>
          <w:p w:rsidR="0005326B" w:rsidRPr="00DC599E" w:rsidRDefault="0005326B" w:rsidP="008035B3">
            <w:pPr>
              <w:jc w:val="both"/>
            </w:pPr>
          </w:p>
        </w:tc>
        <w:tc>
          <w:tcPr>
            <w:tcW w:w="7294" w:type="dxa"/>
          </w:tcPr>
          <w:p w:rsidR="0005326B" w:rsidRPr="00DC599E" w:rsidRDefault="00DC599E" w:rsidP="008035B3">
            <w:pPr>
              <w:jc w:val="both"/>
              <w:rPr>
                <w:rFonts w:ascii="Courier New" w:hAnsi="Courier New" w:cs="Courier New"/>
              </w:rPr>
            </w:pPr>
            <w:r w:rsidRPr="00DC599E">
              <w:t xml:space="preserve">3. Новостворені  підприємства   та   підприємства,   які   за результатами  діяльності  за  минулий  рік відповідають критеріям, наведеним у пункті 2  цього  розділу,  застосовують  це  Положення (стандарт)  у  поточному  (звітному)  році.  Якщо  підприємство за </w:t>
            </w:r>
            <w:r w:rsidRPr="00DC599E">
              <w:br/>
              <w:t xml:space="preserve">результатами   діяльності   протягом    року    втратило    ознаки відповідності  критеріям,  наведеним у пункті 2 цього розділу,  то фінансовий звіт таким підприємством складається за звітний період, у якому це відбулось, і подальші періоди поточного (звітного) року відповідно  </w:t>
            </w:r>
            <w:r w:rsidRPr="00DC599E">
              <w:rPr>
                <w:b/>
              </w:rPr>
              <w:t>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від  7  лютого  2013  року  N   73,  зареєстрованого  в Міністерстві юстиції України 28 лютого 2013 року за N 336/22868 (із змінами)</w:t>
            </w:r>
            <w:r w:rsidRPr="00DC599E">
              <w:t xml:space="preserve">. </w:t>
            </w:r>
          </w:p>
        </w:tc>
      </w:tr>
      <w:tr w:rsidR="00DC599E" w:rsidRPr="00DC599E" w:rsidTr="00AD6150">
        <w:trPr>
          <w:jc w:val="center"/>
        </w:trPr>
        <w:tc>
          <w:tcPr>
            <w:tcW w:w="0" w:type="auto"/>
            <w:gridSpan w:val="2"/>
          </w:tcPr>
          <w:p w:rsidR="00DC599E" w:rsidRPr="00DC599E" w:rsidRDefault="00DC599E" w:rsidP="008035B3">
            <w:pPr>
              <w:pStyle w:val="HTML"/>
              <w:shd w:val="clear" w:color="auto" w:fill="FFFFFF"/>
              <w:jc w:val="both"/>
              <w:textAlignment w:val="baseline"/>
              <w:rPr>
                <w:rFonts w:ascii="Times New Roman" w:hAnsi="Times New Roman" w:cs="Times New Roman"/>
                <w:b/>
                <w:color w:val="000000"/>
                <w:sz w:val="24"/>
                <w:szCs w:val="24"/>
                <w:lang w:val="uk-UA"/>
              </w:rPr>
            </w:pPr>
            <w:r w:rsidRPr="00DC599E">
              <w:rPr>
                <w:rFonts w:ascii="Times New Roman" w:hAnsi="Times New Roman" w:cs="Times New Roman"/>
                <w:b/>
                <w:sz w:val="24"/>
                <w:szCs w:val="24"/>
                <w:lang w:val="uk-UA"/>
              </w:rPr>
              <w:t xml:space="preserve">Розділ II </w:t>
            </w:r>
            <w:r w:rsidRPr="00DC599E">
              <w:rPr>
                <w:rFonts w:ascii="Times New Roman" w:hAnsi="Times New Roman" w:cs="Times New Roman"/>
                <w:b/>
                <w:color w:val="000000"/>
                <w:sz w:val="24"/>
                <w:szCs w:val="24"/>
                <w:lang w:val="uk-UA"/>
              </w:rPr>
              <w:t>Фінансовий звіт суб'єкта малого підприємництва</w:t>
            </w:r>
          </w:p>
        </w:tc>
      </w:tr>
      <w:tr w:rsidR="0005326B" w:rsidRPr="00DC599E" w:rsidTr="009A40AE">
        <w:trPr>
          <w:jc w:val="center"/>
        </w:trPr>
        <w:tc>
          <w:tcPr>
            <w:tcW w:w="7492" w:type="dxa"/>
          </w:tcPr>
          <w:p w:rsidR="00DC599E" w:rsidRDefault="00DC599E" w:rsidP="008035B3">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2.2. …</w:t>
            </w:r>
          </w:p>
          <w:p w:rsidR="0005326B" w:rsidRPr="00DC599E" w:rsidRDefault="00DC599E" w:rsidP="008035B3">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У статті   наводяться   </w:t>
            </w:r>
            <w:r w:rsidRPr="00DC599E">
              <w:rPr>
                <w:rFonts w:ascii="Times New Roman" w:hAnsi="Times New Roman" w:cs="Times New Roman"/>
                <w:b/>
                <w:color w:val="000000"/>
                <w:sz w:val="24"/>
                <w:szCs w:val="24"/>
                <w:lang w:val="uk-UA"/>
              </w:rPr>
              <w:t>окремо   первісна   (переоцінена)  та залишкова</w:t>
            </w:r>
            <w:r w:rsidRPr="00DC599E">
              <w:rPr>
                <w:rFonts w:ascii="Times New Roman" w:hAnsi="Times New Roman" w:cs="Times New Roman"/>
                <w:color w:val="000000"/>
                <w:sz w:val="24"/>
                <w:szCs w:val="24"/>
                <w:lang w:val="uk-UA"/>
              </w:rPr>
              <w:t xml:space="preserve"> вартість основних  засобів,  нематеріальних  активів  та інших  необоротних  матеріальних  активів,  а  також  нарахована в </w:t>
            </w:r>
            <w:r w:rsidRPr="00DC599E">
              <w:rPr>
                <w:rFonts w:ascii="Times New Roman" w:hAnsi="Times New Roman" w:cs="Times New Roman"/>
                <w:color w:val="000000"/>
                <w:sz w:val="24"/>
                <w:szCs w:val="24"/>
                <w:lang w:val="uk-UA"/>
              </w:rPr>
              <w:br/>
              <w:t xml:space="preserve">установленому порядку  сума  їх  зносу  (у  дужках).  До  підсумку балансу   включається  залишкова  вартість,  яка  визначається  як різниця між первісною (переоціненою) вартістю вказаних необоротних активів і сумою їх зносу на дату балансу. </w:t>
            </w:r>
          </w:p>
        </w:tc>
        <w:tc>
          <w:tcPr>
            <w:tcW w:w="7294" w:type="dxa"/>
          </w:tcPr>
          <w:p w:rsidR="00DC599E" w:rsidRDefault="00DC599E" w:rsidP="008035B3">
            <w:pPr>
              <w:pStyle w:val="HTML"/>
              <w:shd w:val="clear" w:color="auto" w:fill="FFFFFF"/>
              <w:jc w:val="both"/>
              <w:textAlignment w:val="baseline"/>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2.2. …</w:t>
            </w:r>
          </w:p>
          <w:p w:rsidR="0005326B" w:rsidRPr="00DC599E" w:rsidRDefault="00DC599E" w:rsidP="008035B3">
            <w:pPr>
              <w:pStyle w:val="HTML"/>
              <w:shd w:val="clear" w:color="auto" w:fill="FFFFFF"/>
              <w:jc w:val="both"/>
              <w:textAlignment w:val="baseline"/>
              <w:rPr>
                <w:rFonts w:ascii="Times New Roman" w:hAnsi="Times New Roman" w:cs="Times New Roman"/>
                <w:color w:val="000000"/>
                <w:sz w:val="24"/>
                <w:szCs w:val="24"/>
                <w:lang w:val="uk-UA"/>
              </w:rPr>
            </w:pPr>
            <w:r w:rsidRPr="00DC599E">
              <w:rPr>
                <w:rFonts w:ascii="Times New Roman" w:hAnsi="Times New Roman" w:cs="Times New Roman"/>
                <w:color w:val="000000"/>
                <w:sz w:val="24"/>
                <w:szCs w:val="24"/>
                <w:lang w:val="uk-UA"/>
              </w:rPr>
              <w:t xml:space="preserve">У статті   наводяться   </w:t>
            </w:r>
            <w:r w:rsidRPr="00DC599E">
              <w:rPr>
                <w:rFonts w:ascii="Times New Roman" w:hAnsi="Times New Roman" w:cs="Times New Roman"/>
                <w:b/>
                <w:color w:val="000000"/>
                <w:sz w:val="24"/>
                <w:szCs w:val="24"/>
                <w:lang w:val="uk-UA"/>
              </w:rPr>
              <w:t xml:space="preserve">залишкова та  окремо </w:t>
            </w:r>
            <w:r w:rsidRPr="00DC599E">
              <w:rPr>
                <w:rFonts w:ascii="Times New Roman" w:hAnsi="Times New Roman" w:cs="Times New Roman"/>
                <w:b/>
                <w:color w:val="000000"/>
                <w:sz w:val="24"/>
                <w:szCs w:val="24"/>
                <w:lang w:val="uk-UA"/>
              </w:rPr>
              <w:br/>
              <w:t>первісна (переоцінена)</w:t>
            </w:r>
            <w:r w:rsidRPr="00DC599E">
              <w:rPr>
                <w:rFonts w:ascii="Times New Roman" w:hAnsi="Times New Roman" w:cs="Times New Roman"/>
                <w:color w:val="000000"/>
                <w:sz w:val="24"/>
                <w:szCs w:val="24"/>
                <w:lang w:val="uk-UA"/>
              </w:rPr>
              <w:t xml:space="preserve"> вартість основних  засобів,  нематеріальних  активів  та інших  необоротних  матеріальних  активів,  а  також  нарахована в установленому порядку  сума  їх  зносу  (у  дужках).  До  підсумку балансу   включається  залишкова  вартість,  яка  визначається  як різниця між первісною (переоціненою) вартістю вказаних необоротних активів і сумою їх зносу на дату балансу.</w:t>
            </w:r>
          </w:p>
        </w:tc>
      </w:tr>
      <w:tr w:rsidR="0005326B" w:rsidRPr="00DC599E" w:rsidTr="009A40AE">
        <w:trPr>
          <w:jc w:val="center"/>
        </w:trPr>
        <w:tc>
          <w:tcPr>
            <w:tcW w:w="7492" w:type="dxa"/>
          </w:tcPr>
          <w:p w:rsidR="0005326B" w:rsidRPr="00F025CB" w:rsidRDefault="00DC599E" w:rsidP="008035B3">
            <w:pPr>
              <w:jc w:val="both"/>
              <w:rPr>
                <w:strike/>
              </w:rPr>
            </w:pPr>
            <w:r w:rsidRPr="00D46CC3">
              <w:rPr>
                <w:strike/>
              </w:rPr>
              <w:t xml:space="preserve">2.3. У  статті  "Довгострокові  біологічні активи" наводиться вартість довгострокових біологічних активів,  облік яких  ведеться відповідно  до  Положення  (стандарту)  бухгалтерського  обліку 30 "Біологічні активи",  затвердженого наказом Міністерства  фінансів </w:t>
            </w:r>
            <w:r w:rsidRPr="00D46CC3">
              <w:rPr>
                <w:strike/>
              </w:rPr>
              <w:br/>
              <w:t xml:space="preserve">України  від  18.11.2005  N  790,  зареєстрованого в Міністерстві юстиції України 05.12.2005 за N  1456/11736  (далі  - Положення (стандарт) 30).  У цій статті наводиться справедлива або </w:t>
            </w:r>
            <w:r w:rsidRPr="00D46CC3">
              <w:rPr>
                <w:strike/>
              </w:rPr>
              <w:br/>
              <w:t xml:space="preserve">первісна (переоцінена) вартість,  сума накопиченої амортизації  (у дужках)  і  залишкова вартість довгострокових біологічних активів. До  підсумку  </w:t>
            </w:r>
            <w:r w:rsidR="003A3863" w:rsidRPr="00D46CC3">
              <w:rPr>
                <w:strike/>
              </w:rPr>
              <w:t>б</w:t>
            </w:r>
            <w:r w:rsidRPr="00D46CC3">
              <w:rPr>
                <w:strike/>
              </w:rPr>
              <w:t xml:space="preserve">алансу  включається   справедлива   або   залишкова </w:t>
            </w:r>
            <w:r w:rsidRPr="00D46CC3">
              <w:rPr>
                <w:strike/>
              </w:rPr>
              <w:br/>
              <w:t xml:space="preserve">вартість,   яка  дорівнює  різниці  між  первісною  (переоціненою) вартістю і сумою накопиченої амортизації. </w:t>
            </w:r>
          </w:p>
        </w:tc>
        <w:tc>
          <w:tcPr>
            <w:tcW w:w="7294" w:type="dxa"/>
          </w:tcPr>
          <w:p w:rsidR="0005326B" w:rsidRPr="003A3863" w:rsidRDefault="00DC599E" w:rsidP="008035B3">
            <w:pPr>
              <w:jc w:val="both"/>
            </w:pPr>
            <w:r w:rsidRPr="003A3863">
              <w:t xml:space="preserve">2.3. У     статті    "Довгострокові    біологічні    активи" відображається вартість довгострокових біологічних активів,  облік яких  ведеться  згідно  з  Положенням (стандартом) бухгалтерського обліку 30 "Біологічні активи",  затвердженим наказом  Міністерства </w:t>
            </w:r>
            <w:r w:rsidRPr="003A3863">
              <w:br/>
              <w:t xml:space="preserve">фінансів  України  від </w:t>
            </w:r>
            <w:r w:rsidR="0082479A">
              <w:t xml:space="preserve"> 18 листопада 2005 року N 790</w:t>
            </w:r>
            <w:r w:rsidRPr="003A3863">
              <w:t xml:space="preserve">, зареєстрованим у Міністерстві юстиції України 5 грудня  2005  року за N  1456/11736  (зі  змінами)  (далі - Положення (стандарт) 30). У цій  статті  наводиться  справедлива   вартість   довгострокових </w:t>
            </w:r>
            <w:r w:rsidRPr="003A3863">
              <w:br/>
              <w:t>біологічних   активів.   У   разі  якщо  відповідно  до  Положення (стандарту) 30 довгострокові біологічні  активи  обліковуються  за первісною вартістю, у цій статті наводиться їх залишкова вартість, яка включається до підсумку балансу.</w:t>
            </w:r>
          </w:p>
        </w:tc>
      </w:tr>
      <w:tr w:rsidR="0005326B" w:rsidRPr="00DC599E" w:rsidTr="009A40AE">
        <w:trPr>
          <w:jc w:val="center"/>
        </w:trPr>
        <w:tc>
          <w:tcPr>
            <w:tcW w:w="7492" w:type="dxa"/>
          </w:tcPr>
          <w:p w:rsidR="0005326B" w:rsidRPr="003A3863" w:rsidRDefault="003A3863" w:rsidP="008035B3">
            <w:pPr>
              <w:jc w:val="both"/>
              <w:rPr>
                <w:rFonts w:ascii="Courier New" w:hAnsi="Courier New" w:cs="Courier New"/>
              </w:rPr>
            </w:pPr>
            <w:r w:rsidRPr="003A3863">
              <w:t xml:space="preserve">2.6. У  статті  </w:t>
            </w:r>
            <w:r w:rsidRPr="003A3863">
              <w:rPr>
                <w:b/>
              </w:rPr>
              <w:t xml:space="preserve">"Виробничі  запаси"  </w:t>
            </w:r>
            <w:r w:rsidRPr="003A3863">
              <w:t xml:space="preserve">відображається  вартість запасів  сировини,  основних  і  допоміжних  матеріалів,   палива, покупних  напівфабрикатів  і  комплектувальних  виробів,  запасних частин,  тари (крім інвентарної),  будівельних матеріалів та інших </w:t>
            </w:r>
            <w:r w:rsidRPr="003A3863">
              <w:br/>
              <w:t xml:space="preserve">матеріалів,   призначених  для  використання  в  ході  нормального операційного циклу.  </w:t>
            </w:r>
            <w:r>
              <w:t xml:space="preserve">У цій  статті  також  наводяться  витрати  на незавершене  виробництво  і  незавершені роботи (послуги),  валова заборгованість замовників за будівельними контрактами. </w:t>
            </w:r>
          </w:p>
        </w:tc>
        <w:tc>
          <w:tcPr>
            <w:tcW w:w="7294" w:type="dxa"/>
          </w:tcPr>
          <w:p w:rsidR="0005326B" w:rsidRPr="00DC599E" w:rsidRDefault="003A3863" w:rsidP="008035B3">
            <w:pPr>
              <w:jc w:val="both"/>
            </w:pPr>
            <w:r w:rsidRPr="003A3863">
              <w:t xml:space="preserve">2.6. У  статті  </w:t>
            </w:r>
            <w:r w:rsidRPr="003A3863">
              <w:rPr>
                <w:b/>
              </w:rPr>
              <w:t>"Запаси"</w:t>
            </w:r>
            <w:r w:rsidRPr="003A3863">
              <w:t xml:space="preserve">  відображається  вартість запасів  сировини,  основних  і  допоміжних  матеріалів,   палива, покупних  напівфабрикатів  і  комплектувальних  виробів,  запасних частин,  тари (крім інвентарної),  будівельних матеріалів та інших </w:t>
            </w:r>
            <w:r w:rsidRPr="003A3863">
              <w:br/>
              <w:t xml:space="preserve">матеріалів,   призначених  для  використання  в  ході  нормального операційного циклу.  </w:t>
            </w:r>
            <w:r>
              <w:t>У цій  статті  також  наводяться  витрати  на незавершене  виробництво  і  незавершені роботи (послуги),  валова заборгованість замовників за будівельними контрактами</w:t>
            </w:r>
            <w:r w:rsidRPr="003A3863">
              <w:rPr>
                <w:b/>
              </w:rPr>
              <w:t xml:space="preserve">. Окремо </w:t>
            </w:r>
            <w:r w:rsidRPr="003A3863">
              <w:rPr>
                <w:b/>
              </w:rPr>
              <w:br/>
              <w:t>відображається готова продукція,  в якій  наводиться  собівартість виробів   на   складі,  обробка  яких  закінчена  та  які  пройшли випробування, приймання, укомплектовані згідно з умовами договорів із  замовниками  та  відповідають  технічним  умовам і стандартам, сільськогосподарська продукція в оцінці,  визначеній відповідно до Положення  (стандарту)  30,  а  також  наводиться покупна вартість товарів, придбаних підприємствами для подальшого продажу.</w:t>
            </w:r>
          </w:p>
        </w:tc>
      </w:tr>
      <w:tr w:rsidR="0005326B" w:rsidRPr="00DC599E" w:rsidTr="009A40AE">
        <w:trPr>
          <w:jc w:val="center"/>
        </w:trPr>
        <w:tc>
          <w:tcPr>
            <w:tcW w:w="7492" w:type="dxa"/>
          </w:tcPr>
          <w:p w:rsidR="0005326B" w:rsidRPr="00F025CB" w:rsidRDefault="003A3863" w:rsidP="008035B3">
            <w:pPr>
              <w:jc w:val="both"/>
              <w:rPr>
                <w:strike/>
              </w:rPr>
            </w:pPr>
            <w:r w:rsidRPr="003A3863">
              <w:rPr>
                <w:strike/>
              </w:rPr>
              <w:t xml:space="preserve">2.8. У статті "Готова продукція" відображається  собівартість виробів   на   складі,  обробка  яких  закінчена  та  які  пройшли випробування, приймання, укомплектовані згідно з умовами договорів із  замовниками  та  відповідають  технічним  умовам і стандартам, сільськогосподарська продукція в оцінці,  визначеній відповідно до Положення  (стандарту)  30.  У цій статті наводиться також  покупна  вартість  товарів,  придбаних  підприємствами  для подальшого продажу. </w:t>
            </w:r>
          </w:p>
        </w:tc>
        <w:tc>
          <w:tcPr>
            <w:tcW w:w="7294" w:type="dxa"/>
          </w:tcPr>
          <w:p w:rsidR="0005326B" w:rsidRPr="003A3863" w:rsidRDefault="00277696" w:rsidP="008035B3">
            <w:pPr>
              <w:jc w:val="both"/>
              <w:rPr>
                <w:b/>
                <w:color w:val="000000"/>
              </w:rPr>
            </w:pPr>
            <w:bookmarkStart w:id="5" w:name="o69"/>
            <w:bookmarkEnd w:id="5"/>
            <w:r>
              <w:rPr>
                <w:b/>
                <w:color w:val="000000"/>
              </w:rPr>
              <w:t xml:space="preserve">2.8. </w:t>
            </w:r>
            <w:r w:rsidR="003A3863" w:rsidRPr="003A3863">
              <w:rPr>
                <w:b/>
                <w:color w:val="000000"/>
              </w:rPr>
              <w:t>Виключено</w:t>
            </w:r>
          </w:p>
        </w:tc>
      </w:tr>
      <w:tr w:rsidR="003A3863" w:rsidRPr="00DC599E" w:rsidTr="009A40AE">
        <w:trPr>
          <w:jc w:val="center"/>
        </w:trPr>
        <w:tc>
          <w:tcPr>
            <w:tcW w:w="7492" w:type="dxa"/>
          </w:tcPr>
          <w:p w:rsidR="003A3863" w:rsidRPr="003A3863" w:rsidRDefault="003A3863" w:rsidP="008035B3">
            <w:pPr>
              <w:jc w:val="both"/>
            </w:pPr>
            <w:r w:rsidRPr="00187B54">
              <w:rPr>
                <w:b/>
              </w:rPr>
              <w:t>2.9.</w:t>
            </w:r>
            <w:r>
              <w:t xml:space="preserve"> У статті "Дебіторська заборгованість за товари,  роботи, послуги" відображається заборгованість покупців або замовників  за реалізовані їм продукцію,  товари,  роботи або послуги,  включаючи забезпечену   векселями   заборгованість.   </w:t>
            </w:r>
            <w:r w:rsidRPr="003A3863">
              <w:rPr>
                <w:b/>
                <w:strike/>
              </w:rPr>
              <w:t>У   підсумок   балансу включається  чиста реалізаційна вартість,  яка визначається шляхом вирахування  з  дебіторської  заборгованості   резерву   сумнівних боргів, сума якого наводиться у дужках.</w:t>
            </w:r>
            <w:r>
              <w:t xml:space="preserve"> </w:t>
            </w:r>
          </w:p>
        </w:tc>
        <w:tc>
          <w:tcPr>
            <w:tcW w:w="7294" w:type="dxa"/>
          </w:tcPr>
          <w:p w:rsidR="003A3863" w:rsidRPr="003A3863" w:rsidRDefault="003A3863" w:rsidP="008035B3">
            <w:pPr>
              <w:jc w:val="both"/>
              <w:rPr>
                <w:b/>
              </w:rPr>
            </w:pPr>
            <w:r>
              <w:rPr>
                <w:b/>
              </w:rPr>
              <w:t xml:space="preserve">2.8. </w:t>
            </w:r>
            <w:r>
              <w:t xml:space="preserve"> У статті "Дебіторська заборгованість за товари,  роботи, послуги" відображається заборгованість покупців або замовників  за реалізовані їм продукцію,  товари,  роботи або послуги,  включаючи забезпечену   векселями   заборгованість </w:t>
            </w:r>
            <w:r w:rsidRPr="003A3863">
              <w:rPr>
                <w:b/>
              </w:rPr>
              <w:t>скоригована  на  резерв сумнівних боргів (нетто)</w:t>
            </w:r>
            <w:r>
              <w:t>.</w:t>
            </w:r>
          </w:p>
        </w:tc>
      </w:tr>
      <w:tr w:rsidR="003A3863" w:rsidRPr="00DC599E" w:rsidTr="009A40AE">
        <w:trPr>
          <w:jc w:val="center"/>
        </w:trPr>
        <w:tc>
          <w:tcPr>
            <w:tcW w:w="7492" w:type="dxa"/>
          </w:tcPr>
          <w:p w:rsidR="003A3863" w:rsidRPr="003A3863" w:rsidRDefault="003A3863" w:rsidP="008035B3">
            <w:pPr>
              <w:jc w:val="both"/>
            </w:pPr>
            <w:r w:rsidRPr="00D46CC3">
              <w:rPr>
                <w:b/>
              </w:rPr>
              <w:t xml:space="preserve">2.10. </w:t>
            </w:r>
            <w:r w:rsidRPr="003A3863">
              <w:t>У  статті "Дебіторська заборгованість за розрахунками з бюджетом"  відображається   визнана   дебіторська   заборгованість казначейських, фінансових і податкових органів, державних цільових фондів, зокрема за розрахунками з тимчасової непрацездатності.</w:t>
            </w:r>
            <w:bookmarkStart w:id="6" w:name="o53"/>
            <w:bookmarkEnd w:id="6"/>
          </w:p>
        </w:tc>
        <w:tc>
          <w:tcPr>
            <w:tcW w:w="7294" w:type="dxa"/>
          </w:tcPr>
          <w:p w:rsidR="003A3863" w:rsidRPr="003A3863" w:rsidRDefault="003A3863" w:rsidP="008035B3">
            <w:pPr>
              <w:jc w:val="both"/>
              <w:rPr>
                <w:b/>
              </w:rPr>
            </w:pPr>
            <w:r w:rsidRPr="003A3863">
              <w:rPr>
                <w:b/>
              </w:rPr>
              <w:t>2.9.</w:t>
            </w:r>
            <w:r w:rsidRPr="003A3863">
              <w:t xml:space="preserve"> У  статті "Дебіторська заборгованість за розрахунками з бюджетом"  відображається   визнана   дебіторська   заборгованість казначейських, фінансових і податкових органів, державних </w:t>
            </w:r>
            <w:r w:rsidR="006F510B">
              <w:t xml:space="preserve">  </w:t>
            </w:r>
            <w:r w:rsidRPr="003A3863">
              <w:t>цільових фондів, зокрема за розрахунками з тимчасової непрацездатності.</w:t>
            </w:r>
            <w:r w:rsidRPr="003A3863">
              <w:rPr>
                <w:b/>
              </w:rPr>
              <w:t xml:space="preserve"> Окремо наводиться дебіторська заборгованість з податку на прибуток.</w:t>
            </w:r>
          </w:p>
        </w:tc>
      </w:tr>
      <w:tr w:rsidR="003A3863" w:rsidRPr="00DC599E" w:rsidTr="009A40AE">
        <w:trPr>
          <w:jc w:val="center"/>
        </w:trPr>
        <w:tc>
          <w:tcPr>
            <w:tcW w:w="7492" w:type="dxa"/>
          </w:tcPr>
          <w:p w:rsidR="003A3863" w:rsidRPr="00F025CB" w:rsidRDefault="006F510B" w:rsidP="008035B3">
            <w:pPr>
              <w:jc w:val="both"/>
              <w:rPr>
                <w:strike/>
              </w:rPr>
            </w:pPr>
            <w:r w:rsidRPr="00D46CC3">
              <w:rPr>
                <w:b/>
              </w:rPr>
              <w:t>2.11</w:t>
            </w:r>
            <w:r w:rsidRPr="00D46CC3">
              <w:rPr>
                <w:strike/>
              </w:rPr>
              <w:t xml:space="preserve">. У  статті  "Інша  поточна  дебіторська  заборгованість" відображається заборгованість дебіторів,  яка не включена до інших статей дебіторської заборгованості та яка відображається у  складі оборотних  активів.  Показники  цієї  статті  наводяться за чистою </w:t>
            </w:r>
            <w:r w:rsidRPr="00D46CC3">
              <w:rPr>
                <w:strike/>
              </w:rPr>
              <w:br/>
              <w:t xml:space="preserve">реалізаційною вартістю,  яка визначається у порядку,  наведеному у підпункті 2.9 пункту 2 цього розділу. </w:t>
            </w:r>
          </w:p>
        </w:tc>
        <w:tc>
          <w:tcPr>
            <w:tcW w:w="7294" w:type="dxa"/>
          </w:tcPr>
          <w:p w:rsidR="006F510B" w:rsidRPr="006F510B" w:rsidRDefault="006F510B" w:rsidP="008035B3">
            <w:pPr>
              <w:jc w:val="both"/>
            </w:pPr>
            <w:r w:rsidRPr="00D46CC3">
              <w:rPr>
                <w:b/>
              </w:rPr>
              <w:t xml:space="preserve">2.10. </w:t>
            </w:r>
            <w:r w:rsidRPr="006F510B">
              <w:t xml:space="preserve">У  статті  "Інша  поточна  дебіторська заборгованість" відображається заборгованість дебіторів,  яка не включена до інших статей   дебіторської   заборгованості,   скоригована   на  резерв сумнівних боргів (нетто) та яка відображається у складі  оборотних </w:t>
            </w:r>
            <w:r w:rsidRPr="006F510B">
              <w:br/>
              <w:t>активів.</w:t>
            </w:r>
          </w:p>
          <w:p w:rsidR="003A3863" w:rsidRPr="003A3863" w:rsidRDefault="003A3863" w:rsidP="008035B3">
            <w:pPr>
              <w:jc w:val="both"/>
              <w:rPr>
                <w:b/>
              </w:rPr>
            </w:pPr>
          </w:p>
        </w:tc>
      </w:tr>
      <w:tr w:rsidR="003A3863" w:rsidRPr="00DC599E" w:rsidTr="009A40AE">
        <w:trPr>
          <w:jc w:val="center"/>
        </w:trPr>
        <w:tc>
          <w:tcPr>
            <w:tcW w:w="7492" w:type="dxa"/>
          </w:tcPr>
          <w:p w:rsidR="00D46CC3" w:rsidRPr="00D46CC3" w:rsidRDefault="00D46CC3" w:rsidP="008035B3">
            <w:pPr>
              <w:jc w:val="both"/>
              <w:rPr>
                <w:strike/>
              </w:rPr>
            </w:pPr>
            <w:r w:rsidRPr="00D46CC3">
              <w:rPr>
                <w:b/>
              </w:rPr>
              <w:t>2.13</w:t>
            </w:r>
            <w:r w:rsidRPr="00D46CC3">
              <w:t>.</w:t>
            </w:r>
            <w:r w:rsidRPr="00D46CC3">
              <w:rPr>
                <w:strike/>
              </w:rPr>
              <w:t xml:space="preserve"> У   статті   "Грошові   кошти   та   їх    еквіваленти" відображаються  кошти  в  касі,  на  поточних  та інших рахунках у банках, які можуть бути використані для поточних операцій, а також еквіваленти грошових коштів.  У цій статті окремо наводяться кошти в  національній  та  іноземній  валютах.  Кошти,  які   не   можна використати  для  операцій протягом одного року,  починаючи з дати балансу,  або  протягом  операційного  циклу  внаслідок  обмежень, відображаються у складі інших необоротних активів. </w:t>
            </w:r>
          </w:p>
          <w:p w:rsidR="003A3863" w:rsidRPr="00D46CC3" w:rsidRDefault="003A3863" w:rsidP="008035B3">
            <w:pPr>
              <w:jc w:val="both"/>
              <w:rPr>
                <w:lang w:val="ru-RU"/>
              </w:rPr>
            </w:pPr>
          </w:p>
        </w:tc>
        <w:tc>
          <w:tcPr>
            <w:tcW w:w="7294" w:type="dxa"/>
          </w:tcPr>
          <w:p w:rsidR="00D46CC3" w:rsidRDefault="00D46CC3" w:rsidP="008035B3">
            <w:pPr>
              <w:jc w:val="both"/>
            </w:pPr>
            <w:r w:rsidRPr="00D46CC3">
              <w:rPr>
                <w:b/>
              </w:rPr>
              <w:t>2.12.</w:t>
            </w:r>
            <w:r>
              <w:t xml:space="preserve"> У  статті  "Гроші  та  їх  еквіваленти" відображаються готівка в касі підприємства, гроші на поточних та інших рахунках у банках,  які можуть бути вільно використані для поточних операцій, а також грошові кошти  в  дорозі,  електронні  гроші,  еквіваленти </w:t>
            </w:r>
            <w:r>
              <w:br/>
              <w:t>грошей. У цій статті наводяться кошти в національній або іноземних валютах.  Кошти,  які не можна використати для  операцій  протягом одного року,  починаючи з дати балансу,  або протягом операційного циклу внаслідок обмежень, виключаються зі складу оборотних активів та відображаються як необоротні активи.</w:t>
            </w:r>
          </w:p>
          <w:p w:rsidR="003A3863" w:rsidRPr="00E95752" w:rsidRDefault="00D46CC3" w:rsidP="008035B3">
            <w:pPr>
              <w:jc w:val="both"/>
            </w:pPr>
            <w:bookmarkStart w:id="7" w:name="o80"/>
            <w:bookmarkEnd w:id="7"/>
            <w:r>
              <w:t xml:space="preserve">     Електронні гроші -  одиниці  вартості,  які  зберігаються  на електронному   пристрої,   приймаються  як  засіб  платежу  іншими особами,  ніж особа,  яка їх випускає,  і є грошовим зобов'язанням цієї  особи,  що виконується в готівковій або безготівковій формі. </w:t>
            </w:r>
            <w:r>
              <w:br/>
              <w:t>При  цьому  з   метою   бухгалтерського   обліку   не   визнаються електронними   грошима   наперед   оплачені  картки  одноцільового використання:  дисконтні картки  торговців,  картки  автозаправних станцій,  квитки  для  проїзду  в  міському  транспорті тощо,  які приймаються як засіб платежу виключно їх емітентами.</w:t>
            </w:r>
          </w:p>
        </w:tc>
      </w:tr>
      <w:tr w:rsidR="003A3863" w:rsidRPr="00DC599E" w:rsidTr="009A40AE">
        <w:trPr>
          <w:jc w:val="center"/>
        </w:trPr>
        <w:tc>
          <w:tcPr>
            <w:tcW w:w="7492" w:type="dxa"/>
          </w:tcPr>
          <w:p w:rsidR="003A3863" w:rsidRPr="00D46CC3" w:rsidRDefault="00D46CC3" w:rsidP="008035B3">
            <w:pPr>
              <w:jc w:val="both"/>
            </w:pPr>
            <w:r w:rsidRPr="00D46CC3">
              <w:rPr>
                <w:b/>
              </w:rPr>
              <w:t>2.15</w:t>
            </w:r>
            <w:r>
              <w:t xml:space="preserve">. У   </w:t>
            </w:r>
            <w:r w:rsidRPr="00D46CC3">
              <w:rPr>
                <w:b/>
              </w:rPr>
              <w:t>складі  витрат  майбутніх  періодів</w:t>
            </w:r>
            <w:r>
              <w:t xml:space="preserve">  відображаються витрати,  що мали місце протягом поточного або попередніх  звітних періодів, але належать до наступних звітних періодів. </w:t>
            </w:r>
          </w:p>
        </w:tc>
        <w:tc>
          <w:tcPr>
            <w:tcW w:w="7294" w:type="dxa"/>
          </w:tcPr>
          <w:p w:rsidR="003A3863" w:rsidRPr="003A3863" w:rsidRDefault="00D46CC3" w:rsidP="008035B3">
            <w:pPr>
              <w:jc w:val="both"/>
              <w:rPr>
                <w:b/>
              </w:rPr>
            </w:pPr>
            <w:r>
              <w:rPr>
                <w:b/>
              </w:rPr>
              <w:t xml:space="preserve">2.14. </w:t>
            </w:r>
            <w:r>
              <w:t xml:space="preserve">У   </w:t>
            </w:r>
            <w:r w:rsidRPr="00D46CC3">
              <w:rPr>
                <w:b/>
              </w:rPr>
              <w:t xml:space="preserve">статті "Витрати майбутніх періодів" </w:t>
            </w:r>
            <w:r>
              <w:t>відображаються витрати,  що мали місце протягом поточного або попередніх  звітних періодів, але належать до наступних звітних періодів.</w:t>
            </w:r>
          </w:p>
        </w:tc>
      </w:tr>
      <w:tr w:rsidR="003A3863" w:rsidRPr="00DC599E" w:rsidTr="009A40AE">
        <w:trPr>
          <w:jc w:val="center"/>
        </w:trPr>
        <w:tc>
          <w:tcPr>
            <w:tcW w:w="7492" w:type="dxa"/>
          </w:tcPr>
          <w:p w:rsidR="003A3863" w:rsidRPr="00D46CC3" w:rsidRDefault="00D46CC3" w:rsidP="008035B3">
            <w:pPr>
              <w:jc w:val="both"/>
            </w:pPr>
            <w:r w:rsidRPr="00D46CC3">
              <w:rPr>
                <w:b/>
              </w:rPr>
              <w:t>2.16.</w:t>
            </w:r>
            <w:r w:rsidRPr="00D46CC3">
              <w:t xml:space="preserve"> У   </w:t>
            </w:r>
            <w:r w:rsidRPr="00D46CC3">
              <w:rPr>
                <w:b/>
              </w:rPr>
              <w:t>складі   необоротних   активів   та   груп  вибуття</w:t>
            </w:r>
            <w:r w:rsidRPr="00D46CC3">
              <w:t xml:space="preserve"> відображається вартість необоротних активів та груп  вибуття,  які утримуються  для продажу,  що визначається відповідно до Положення (стандарту)  бухгалтерського   обліку   27   "Необоротні   активи, утримувані  для продажу,  та припинена діяльність",  затвердженого наказом Міністерства  фінансів  України  від  07.11.2003   </w:t>
            </w:r>
            <w:r>
              <w:t>N</w:t>
            </w:r>
            <w:r w:rsidRPr="00D46CC3">
              <w:t xml:space="preserve">   617, зареєстрованого  в  Міністерстві  юстиції  України 17.11.2003 за </w:t>
            </w:r>
            <w:r>
              <w:t>N</w:t>
            </w:r>
            <w:r w:rsidRPr="00D46CC3">
              <w:t xml:space="preserve"> 1054/8375 (далі - Положення (стандарт) 27). </w:t>
            </w:r>
          </w:p>
        </w:tc>
        <w:tc>
          <w:tcPr>
            <w:tcW w:w="7294" w:type="dxa"/>
          </w:tcPr>
          <w:p w:rsidR="003A3863" w:rsidRPr="00D46CC3" w:rsidRDefault="00D46CC3" w:rsidP="008035B3">
            <w:pPr>
              <w:jc w:val="both"/>
            </w:pPr>
            <w:r w:rsidRPr="00D46CC3">
              <w:rPr>
                <w:b/>
              </w:rPr>
              <w:t>2.15.</w:t>
            </w:r>
            <w:r w:rsidRPr="00D46CC3">
              <w:t xml:space="preserve"> У   </w:t>
            </w:r>
            <w:r w:rsidRPr="00D46CC3">
              <w:rPr>
                <w:b/>
              </w:rPr>
              <w:t>розділі  III  "Необоротні активи, утримувані для продажу, та групи вибуття</w:t>
            </w:r>
            <w:r w:rsidRPr="00D46CC3">
              <w:t xml:space="preserve"> відображається вартість необоротних активів та груп  вибуття,  які утримуються  для продажу,  що визначається відповідно до Положення (стандарту)  бухгалтерського   обліку   27   "Необоротні   активи, утримувані  для продажу,  та припинена діяльність",  затвердженого наказом Міністерства  фінансів  України  від  07.11.2003   </w:t>
            </w:r>
            <w:r>
              <w:t>N</w:t>
            </w:r>
            <w:r w:rsidRPr="00D46CC3">
              <w:t xml:space="preserve">   617, зареєстрованого  в  Міністерстві  юстиції  України 17.11.2003 за </w:t>
            </w:r>
            <w:r>
              <w:t>N</w:t>
            </w:r>
            <w:r w:rsidRPr="00D46CC3">
              <w:t xml:space="preserve"> 1054/8375 (далі - Положення (стандарт) 27). </w:t>
            </w:r>
          </w:p>
        </w:tc>
      </w:tr>
      <w:tr w:rsidR="003A3863" w:rsidRPr="00DC599E" w:rsidTr="009A40AE">
        <w:trPr>
          <w:jc w:val="center"/>
        </w:trPr>
        <w:tc>
          <w:tcPr>
            <w:tcW w:w="7492" w:type="dxa"/>
          </w:tcPr>
          <w:p w:rsidR="00FC3BD8" w:rsidRPr="00FC3BD8" w:rsidRDefault="00FC3BD8" w:rsidP="008035B3">
            <w:pPr>
              <w:jc w:val="both"/>
              <w:rPr>
                <w:strike/>
              </w:rPr>
            </w:pPr>
            <w:r w:rsidRPr="00FC3BD8">
              <w:rPr>
                <w:b/>
              </w:rPr>
              <w:t>2.17.</w:t>
            </w:r>
            <w:r>
              <w:t xml:space="preserve"> </w:t>
            </w:r>
            <w:r w:rsidRPr="00FC3BD8">
              <w:rPr>
                <w:strike/>
              </w:rPr>
              <w:t xml:space="preserve">У статті "Статутний капітал" наводиться  зафіксована  в установчих   документах  сума  статутного  капіталу  підприємства. Підприємства,  для яких не передбачена фіксована  сума  статутного капіталу,   відображають  у  цій  статті  суму  фактичного  внеску </w:t>
            </w:r>
            <w:r w:rsidRPr="00FC3BD8">
              <w:rPr>
                <w:strike/>
              </w:rPr>
              <w:br/>
              <w:t xml:space="preserve">власників до статутного капіталу підприємства. </w:t>
            </w:r>
          </w:p>
          <w:p w:rsidR="003A3863" w:rsidRPr="00FC3BD8" w:rsidRDefault="003A3863" w:rsidP="008035B3">
            <w:pPr>
              <w:jc w:val="both"/>
              <w:rPr>
                <w:strike/>
                <w:lang w:val="ru-RU"/>
              </w:rPr>
            </w:pPr>
          </w:p>
        </w:tc>
        <w:tc>
          <w:tcPr>
            <w:tcW w:w="7294" w:type="dxa"/>
          </w:tcPr>
          <w:p w:rsidR="003A3863" w:rsidRPr="00FC3BD8" w:rsidRDefault="00FC3BD8" w:rsidP="008035B3">
            <w:pPr>
              <w:jc w:val="both"/>
            </w:pPr>
            <w:r w:rsidRPr="00FC3BD8">
              <w:rPr>
                <w:b/>
              </w:rPr>
              <w:t>2.16.</w:t>
            </w:r>
            <w:r>
              <w:t xml:space="preserve"> У статті "Зареєстрований (пайовий) капітал" наводиться зафіксована  в  установчих  документах  сума  статутного  капіталу підприємства з  урахуванням  суми  внесків до оголошеного,  але ще не зареєстрованого статутного  капіталу.  Підприємства,  для  яких </w:t>
            </w:r>
            <w:r>
              <w:br/>
              <w:t>не передбачена  фіксована  сума статутного капіталу,  відображають у цій  статті  суму  фактичного  внеску  власників  до  статутного капіталу підприємства. У цій статті також наводяться сума пайового капіталу (пайових внесків) членів споживчого товариства, спілок та інших організацій, внески засновників підприємства понад статутний капітал.</w:t>
            </w:r>
          </w:p>
        </w:tc>
      </w:tr>
      <w:tr w:rsidR="003A3863" w:rsidRPr="00DC599E" w:rsidTr="009A40AE">
        <w:trPr>
          <w:jc w:val="center"/>
        </w:trPr>
        <w:tc>
          <w:tcPr>
            <w:tcW w:w="7492" w:type="dxa"/>
          </w:tcPr>
          <w:p w:rsidR="003A3863" w:rsidRPr="00F025CB" w:rsidRDefault="00FC3BD8" w:rsidP="008035B3">
            <w:pPr>
              <w:jc w:val="both"/>
              <w:rPr>
                <w:b/>
                <w:strike/>
              </w:rPr>
            </w:pPr>
            <w:r w:rsidRPr="00FC3BD8">
              <w:rPr>
                <w:b/>
              </w:rPr>
              <w:t>2.18</w:t>
            </w:r>
            <w:r w:rsidRPr="00FC3BD8">
              <w:t xml:space="preserve">. У  статті  "Додатковий  капітал"  відображаються   сума дооцінки   необоротних   активів,  вартість  безоплатно  отриманих підприємством від інших юридичних або  фізичних  осіб  необоротних активів  та  інші  види  додаткового капіталу.  </w:t>
            </w:r>
            <w:r w:rsidRPr="00FC3BD8">
              <w:rPr>
                <w:b/>
                <w:strike/>
              </w:rPr>
              <w:t xml:space="preserve">У цій статті також наводяться  сума  пайового  капіталу  (пайових   внесків)   членів споживчого   товариства,   спілок  та  інших  організацій,  внески засновників підприємства понад статутний капітал. </w:t>
            </w:r>
          </w:p>
        </w:tc>
        <w:tc>
          <w:tcPr>
            <w:tcW w:w="7294" w:type="dxa"/>
          </w:tcPr>
          <w:p w:rsidR="003A3863" w:rsidRPr="00E95752" w:rsidRDefault="00FC3BD8" w:rsidP="008035B3">
            <w:pPr>
              <w:jc w:val="both"/>
              <w:rPr>
                <w:b/>
              </w:rPr>
            </w:pPr>
            <w:r>
              <w:rPr>
                <w:b/>
              </w:rPr>
              <w:t>2.17.</w:t>
            </w:r>
            <w:r>
              <w:t xml:space="preserve"> У  статті  "Додатковий  капітал"  відображаються   сума дооцінки   необоротних   активів,  вартість  безоплатно  отриманих підприємством від інших юридичних або  фізичних  осіб  необоротних активів  та  інші  види  додаткового капіталу.  </w:t>
            </w:r>
          </w:p>
        </w:tc>
      </w:tr>
      <w:tr w:rsidR="003A3863" w:rsidRPr="00DC599E" w:rsidTr="009A40AE">
        <w:trPr>
          <w:jc w:val="center"/>
        </w:trPr>
        <w:tc>
          <w:tcPr>
            <w:tcW w:w="7492" w:type="dxa"/>
          </w:tcPr>
          <w:p w:rsidR="003A3863" w:rsidRPr="00FC3BD8" w:rsidRDefault="00FC3BD8" w:rsidP="008035B3">
            <w:pPr>
              <w:jc w:val="both"/>
              <w:rPr>
                <w:strike/>
              </w:rPr>
            </w:pPr>
            <w:r w:rsidRPr="00FC3BD8">
              <w:rPr>
                <w:b/>
              </w:rPr>
              <w:t>2.22</w:t>
            </w:r>
            <w:r w:rsidRPr="00FC3BD8">
              <w:t xml:space="preserve">. </w:t>
            </w:r>
            <w:r w:rsidRPr="00FC3BD8">
              <w:rPr>
                <w:strike/>
              </w:rPr>
              <w:t xml:space="preserve">У  складі  забезпечень  наступних  витрат  і   платежів відображаються   суми  забезпечення  для  відшкодування  наступних витрат і платежів (на  виплату  наступних  відпусток  працівникам, виконання  гарантійних  зобов'язань тощо),  а також залишки коштів цільового фінансування і цільових надходжень з  бюджету  та  інших джерел, у тому числі кошти, вивільнені від оподаткування у зв'язку з наданням пільг з податку на прибуток підприємств. </w:t>
            </w:r>
          </w:p>
        </w:tc>
        <w:tc>
          <w:tcPr>
            <w:tcW w:w="7294" w:type="dxa"/>
          </w:tcPr>
          <w:p w:rsidR="003A3863" w:rsidRPr="00FC3BD8" w:rsidRDefault="00FC3BD8" w:rsidP="008035B3">
            <w:pPr>
              <w:jc w:val="both"/>
            </w:pPr>
            <w:r w:rsidRPr="00FC3BD8">
              <w:rPr>
                <w:b/>
              </w:rPr>
              <w:t>2.21.</w:t>
            </w:r>
            <w:r w:rsidRPr="00FC3BD8">
              <w:t xml:space="preserve"> У   розділі   "Довгострокові   зобов'язання,   цільове фінансування  та  забезпечення"  наводиться  сума   заборгованості підприємства банкам за отримані від них кредити, яка не є поточним зобов'язанням,  сума довгострокової заборгованості підприємства за </w:t>
            </w:r>
            <w:r w:rsidRPr="00FC3BD8">
              <w:br/>
              <w:t>зобов'язаннями  щодо  залучення  позикових  коштів  (крім кредитів банків),   на   які   нараховуються   відсотки,   та   за   іншими довгостроковими  зобов'язаннями.  У  цьому  розділі відображається сума залишку коштів цільового фінансування і цільових  надходжень, які  отримані  з  бюджету  та  інших джерел,  у тому числі коштів, вивільнених від оподаткування у зв'язку з наданням пільг з податку на   прибуток   підприємств,   а   також   суми  забезпечення  для відшкодування наступних витрат і платежів  (на  виплату  відпусток працівникам, виконання гарантійних зобов'язань тощо).</w:t>
            </w:r>
          </w:p>
        </w:tc>
      </w:tr>
      <w:tr w:rsidR="003A3863" w:rsidRPr="00DC599E" w:rsidTr="009A40AE">
        <w:trPr>
          <w:jc w:val="center"/>
        </w:trPr>
        <w:tc>
          <w:tcPr>
            <w:tcW w:w="7492" w:type="dxa"/>
          </w:tcPr>
          <w:p w:rsidR="003A3863" w:rsidRPr="00FC3BD8" w:rsidRDefault="00FC3BD8" w:rsidP="008035B3">
            <w:pPr>
              <w:jc w:val="both"/>
            </w:pPr>
            <w:r w:rsidRPr="00FC3BD8">
              <w:rPr>
                <w:b/>
              </w:rPr>
              <w:t>2.23.</w:t>
            </w:r>
            <w:r w:rsidRPr="00FC3BD8">
              <w:t xml:space="preserve"> </w:t>
            </w:r>
            <w:r w:rsidRPr="00781828">
              <w:rPr>
                <w:strike/>
              </w:rPr>
              <w:t>У    статтях   розділу   "Довгострокові   зобов'язання" наводиться сума заборгованості підприємства банкам за отримані від них позики,  яка не є поточним зобов'язанням,  сума довгострокової заборгованості  підприємства  за  зобов'язаннями  щодо   залучення позикових  коштів  (крім  кредитів  банків),  на які нараховуються відсотки, та за іншими довгостроковими зобов'язаннями.</w:t>
            </w:r>
            <w:r w:rsidRPr="00FC3BD8">
              <w:t xml:space="preserve"> </w:t>
            </w:r>
          </w:p>
        </w:tc>
        <w:tc>
          <w:tcPr>
            <w:tcW w:w="7294" w:type="dxa"/>
          </w:tcPr>
          <w:p w:rsidR="003A3863" w:rsidRPr="003A3863" w:rsidRDefault="00FC3BD8" w:rsidP="008035B3">
            <w:pPr>
              <w:jc w:val="both"/>
              <w:rPr>
                <w:b/>
              </w:rPr>
            </w:pPr>
            <w:r>
              <w:rPr>
                <w:b/>
              </w:rPr>
              <w:t>2.22. Виключ</w:t>
            </w:r>
            <w:r w:rsidR="00277696">
              <w:rPr>
                <w:b/>
              </w:rPr>
              <w:t>ено</w:t>
            </w:r>
          </w:p>
        </w:tc>
      </w:tr>
      <w:tr w:rsidR="003A3863" w:rsidRPr="00DC599E" w:rsidTr="009A40AE">
        <w:trPr>
          <w:jc w:val="center"/>
        </w:trPr>
        <w:tc>
          <w:tcPr>
            <w:tcW w:w="7492" w:type="dxa"/>
          </w:tcPr>
          <w:p w:rsidR="00FC3BD8" w:rsidRPr="00FC3BD8" w:rsidRDefault="00FC3BD8" w:rsidP="008035B3">
            <w:pPr>
              <w:jc w:val="both"/>
            </w:pPr>
            <w:r w:rsidRPr="00FC3BD8">
              <w:rPr>
                <w:b/>
              </w:rPr>
              <w:t>2.25.</w:t>
            </w:r>
            <w:r w:rsidRPr="00FC3BD8">
              <w:t xml:space="preserve"> У  статті  "</w:t>
            </w:r>
            <w:r w:rsidRPr="00FC3BD8">
              <w:rPr>
                <w:b/>
              </w:rPr>
              <w:t>Поточна</w:t>
            </w:r>
            <w:r w:rsidRPr="00FC3BD8">
              <w:t xml:space="preserve">  заборгованість  за довгостроковими зобов'язаннями" наводяться суми  зобов'язань,  які  утворилися  як довгострокові,  але  з  дати балансу підлягають погашенню протягом дванадцяти місяців. </w:t>
            </w:r>
          </w:p>
          <w:p w:rsidR="003A3863" w:rsidRPr="00FC3BD8" w:rsidRDefault="003A3863" w:rsidP="008035B3">
            <w:pPr>
              <w:jc w:val="both"/>
              <w:rPr>
                <w:strike/>
              </w:rPr>
            </w:pPr>
          </w:p>
        </w:tc>
        <w:tc>
          <w:tcPr>
            <w:tcW w:w="7294" w:type="dxa"/>
          </w:tcPr>
          <w:p w:rsidR="00FC3BD8" w:rsidRPr="00FC3BD8" w:rsidRDefault="00FC3BD8" w:rsidP="008035B3">
            <w:pPr>
              <w:jc w:val="both"/>
            </w:pPr>
            <w:r w:rsidRPr="00FC3BD8">
              <w:rPr>
                <w:b/>
              </w:rPr>
              <w:t xml:space="preserve">2.23. </w:t>
            </w:r>
            <w:r w:rsidRPr="00FC3BD8">
              <w:t>У  статті  "</w:t>
            </w:r>
            <w:r w:rsidRPr="00FC3BD8">
              <w:rPr>
                <w:b/>
              </w:rPr>
              <w:t>Поточна</w:t>
            </w:r>
            <w:r>
              <w:rPr>
                <w:b/>
              </w:rPr>
              <w:t xml:space="preserve"> кредиторська</w:t>
            </w:r>
            <w:r w:rsidRPr="00FC3BD8">
              <w:t xml:space="preserve">  заборгованість  за довгостроковими зобов'язаннями" наводяться суми  зобов'язань,  які  утворилися  як довгострокові,  але  з  дати балансу підлягають погашенню протягом дванадцяти місяців. </w:t>
            </w:r>
          </w:p>
          <w:p w:rsidR="003A3863" w:rsidRPr="003A3863" w:rsidRDefault="003A3863" w:rsidP="008035B3">
            <w:pPr>
              <w:jc w:val="both"/>
              <w:rPr>
                <w:b/>
              </w:rPr>
            </w:pPr>
          </w:p>
        </w:tc>
      </w:tr>
      <w:tr w:rsidR="00FC3BD8" w:rsidRPr="00DC599E" w:rsidTr="009A40AE">
        <w:trPr>
          <w:jc w:val="center"/>
        </w:trPr>
        <w:tc>
          <w:tcPr>
            <w:tcW w:w="7492" w:type="dxa"/>
          </w:tcPr>
          <w:p w:rsidR="00FC3BD8" w:rsidRPr="00AD6150" w:rsidRDefault="00FC3BD8" w:rsidP="008035B3">
            <w:pPr>
              <w:jc w:val="both"/>
            </w:pPr>
            <w:r w:rsidRPr="00FC3BD8">
              <w:rPr>
                <w:b/>
              </w:rPr>
              <w:t>2.26.</w:t>
            </w:r>
            <w:r>
              <w:t xml:space="preserve"> У  статті  "</w:t>
            </w:r>
            <w:r w:rsidRPr="00FC3BD8">
              <w:rPr>
                <w:b/>
              </w:rPr>
              <w:t>Кредиторська</w:t>
            </w:r>
            <w:r>
              <w:t xml:space="preserve">  заборгованість   за   товари, роботи, послуги" відображається сума заборгованості постачальникам і підрядникам за матеріальні цінності, виконані роботи та отримані </w:t>
            </w:r>
            <w:r>
              <w:br/>
              <w:t xml:space="preserve">послуги,  включаючи заборгованість,  забезпечену векселями.  У цій статті  також  відображається  заборгованість  постачальникам   за невідфактуровані     поставки     і    розрахунки    з    надлишку </w:t>
            </w:r>
            <w:r>
              <w:br/>
              <w:t xml:space="preserve">товарно-матеріальних цінностей, який встановлено при їх прийманні. </w:t>
            </w:r>
          </w:p>
        </w:tc>
        <w:tc>
          <w:tcPr>
            <w:tcW w:w="7294" w:type="dxa"/>
          </w:tcPr>
          <w:p w:rsidR="00FC3BD8" w:rsidRPr="003A3863" w:rsidRDefault="00FC3BD8" w:rsidP="008035B3">
            <w:pPr>
              <w:jc w:val="both"/>
              <w:rPr>
                <w:b/>
              </w:rPr>
            </w:pPr>
            <w:r>
              <w:rPr>
                <w:b/>
              </w:rPr>
              <w:t xml:space="preserve">2.24. </w:t>
            </w:r>
            <w:r>
              <w:t>У  статті  "</w:t>
            </w:r>
            <w:r w:rsidRPr="00FC3BD8">
              <w:rPr>
                <w:b/>
              </w:rPr>
              <w:t>Поточна кредиторська</w:t>
            </w:r>
            <w:r>
              <w:t xml:space="preserve">  заборгованість   за   товари, роботи, послуги" відображається сума заборгованості постачальникам і підрядникам за матеріальні цінності, виконані роботи та отримані послуги,  включаючи заборгованість,  забезпечену векселями.  У цій статті  також  відображається  заборгованість  постачальникам   за невідфактуровані     поставки     і    розрахунки    з    надлишку товарно-матеріальних цінностей, який встановлено при їх прийманні.</w:t>
            </w:r>
          </w:p>
        </w:tc>
      </w:tr>
      <w:tr w:rsidR="00FC3BD8" w:rsidRPr="00DC599E" w:rsidTr="009A40AE">
        <w:trPr>
          <w:jc w:val="center"/>
        </w:trPr>
        <w:tc>
          <w:tcPr>
            <w:tcW w:w="7492" w:type="dxa"/>
          </w:tcPr>
          <w:p w:rsidR="00AD6150" w:rsidRPr="00AD6150" w:rsidRDefault="00AD6150" w:rsidP="008035B3">
            <w:pPr>
              <w:jc w:val="both"/>
            </w:pPr>
            <w:r w:rsidRPr="00AD6150">
              <w:rPr>
                <w:b/>
              </w:rPr>
              <w:t>2.27.</w:t>
            </w:r>
            <w:r w:rsidRPr="00AD6150">
              <w:t xml:space="preserve"> У  статті  "</w:t>
            </w:r>
            <w:r w:rsidRPr="00AD6150">
              <w:rPr>
                <w:b/>
              </w:rPr>
              <w:t>Поточні  зобов'язання</w:t>
            </w:r>
            <w:r w:rsidRPr="00AD6150">
              <w:t xml:space="preserve">  за  розрахунками   з бюджетом"  відображається  заборгованість  підприємства  за  всіма видами платежів до бюджету,  включаючи суму податку з  працівників підприємства. </w:t>
            </w:r>
          </w:p>
          <w:p w:rsidR="00FC3BD8" w:rsidRPr="00AD6150" w:rsidRDefault="00FC3BD8" w:rsidP="008035B3">
            <w:pPr>
              <w:jc w:val="both"/>
              <w:rPr>
                <w:strike/>
              </w:rPr>
            </w:pPr>
          </w:p>
        </w:tc>
        <w:tc>
          <w:tcPr>
            <w:tcW w:w="7294" w:type="dxa"/>
          </w:tcPr>
          <w:p w:rsidR="00FC3BD8" w:rsidRPr="00AD6150" w:rsidRDefault="00AD6150" w:rsidP="008035B3">
            <w:pPr>
              <w:jc w:val="both"/>
              <w:rPr>
                <w:b/>
              </w:rPr>
            </w:pPr>
            <w:r w:rsidRPr="00AD6150">
              <w:rPr>
                <w:b/>
              </w:rPr>
              <w:t xml:space="preserve">2.25. </w:t>
            </w:r>
            <w:r w:rsidRPr="00AD6150">
              <w:t xml:space="preserve">У  статті  " </w:t>
            </w:r>
            <w:r w:rsidRPr="00AD6150">
              <w:rPr>
                <w:b/>
              </w:rPr>
              <w:t>Поточна кредиторська заборгованість</w:t>
            </w:r>
            <w:r w:rsidR="00610399">
              <w:t xml:space="preserve"> за  розрахунками </w:t>
            </w:r>
            <w:r w:rsidRPr="00AD6150">
              <w:t xml:space="preserve">з бюджетом"  відображається  заборгованість  підприємства  за  всіма видами платежів до бюджету,  включаючи суму податку з  працівників підприємства. </w:t>
            </w:r>
            <w:r w:rsidRPr="00AD6150">
              <w:rPr>
                <w:b/>
              </w:rPr>
              <w:t>У цій статті окремо  наводиться  поточна   кредиторська   заборгованість з податку на прибуток.</w:t>
            </w:r>
          </w:p>
        </w:tc>
      </w:tr>
      <w:tr w:rsidR="00FC3BD8" w:rsidRPr="00DC599E" w:rsidTr="009A40AE">
        <w:trPr>
          <w:jc w:val="center"/>
        </w:trPr>
        <w:tc>
          <w:tcPr>
            <w:tcW w:w="7492" w:type="dxa"/>
          </w:tcPr>
          <w:p w:rsidR="00FC3BD8" w:rsidRPr="00AD6150" w:rsidRDefault="00AD6150" w:rsidP="008035B3">
            <w:pPr>
              <w:jc w:val="both"/>
            </w:pPr>
            <w:r w:rsidRPr="00AD6150">
              <w:rPr>
                <w:b/>
              </w:rPr>
              <w:t>2.28.</w:t>
            </w:r>
            <w:r w:rsidRPr="00AD6150">
              <w:t xml:space="preserve"> У  статті  "</w:t>
            </w:r>
            <w:r w:rsidRPr="00AD6150">
              <w:rPr>
                <w:b/>
              </w:rPr>
              <w:t>Поточні  зобов'язання</w:t>
            </w:r>
            <w:r w:rsidRPr="00AD6150">
              <w:t xml:space="preserve">  за  розрахунками  зі страхування"  відображається  сума заборгованості з відрахувань на загальнообов'язкове  державне  соціальне  страхування, страхування майна    підприємства    та   індивідуального   страхування його </w:t>
            </w:r>
            <w:r w:rsidRPr="00AD6150">
              <w:br/>
              <w:t>працівників.</w:t>
            </w:r>
          </w:p>
        </w:tc>
        <w:tc>
          <w:tcPr>
            <w:tcW w:w="7294" w:type="dxa"/>
          </w:tcPr>
          <w:p w:rsidR="00FC3BD8" w:rsidRPr="00AD6150" w:rsidRDefault="00AD6150" w:rsidP="008035B3">
            <w:pPr>
              <w:jc w:val="both"/>
              <w:rPr>
                <w:b/>
              </w:rPr>
            </w:pPr>
            <w:r w:rsidRPr="00AD6150">
              <w:rPr>
                <w:b/>
              </w:rPr>
              <w:t xml:space="preserve">2.26. </w:t>
            </w:r>
            <w:r w:rsidRPr="00AD6150">
              <w:t xml:space="preserve">У  статті  " </w:t>
            </w:r>
            <w:r w:rsidRPr="00AD6150">
              <w:rPr>
                <w:b/>
              </w:rPr>
              <w:t xml:space="preserve">Поточна кредиторська заборгованість </w:t>
            </w:r>
            <w:r w:rsidRPr="00AD6150">
              <w:t xml:space="preserve">за  розрахунками  зі страхування"  відображається  сума заборгованості з відрахувань на загальнообов'язкове  державне  соціальне  страхування, страхування майна    підприємства    та   індивідуального   страхування його </w:t>
            </w:r>
            <w:r w:rsidRPr="00AD6150">
              <w:br/>
              <w:t>працівників.</w:t>
            </w:r>
          </w:p>
        </w:tc>
      </w:tr>
      <w:tr w:rsidR="00AD6150" w:rsidRPr="00DC599E" w:rsidTr="009A40AE">
        <w:trPr>
          <w:jc w:val="center"/>
        </w:trPr>
        <w:tc>
          <w:tcPr>
            <w:tcW w:w="7492" w:type="dxa"/>
          </w:tcPr>
          <w:p w:rsidR="00AD6150" w:rsidRPr="00AD6150" w:rsidRDefault="00AD6150" w:rsidP="008035B3">
            <w:pPr>
              <w:jc w:val="both"/>
              <w:rPr>
                <w:lang w:val="ru-RU"/>
              </w:rPr>
            </w:pPr>
            <w:r w:rsidRPr="00AD6150">
              <w:rPr>
                <w:b/>
              </w:rPr>
              <w:t>2.29</w:t>
            </w:r>
            <w:r>
              <w:t xml:space="preserve">. У </w:t>
            </w:r>
            <w:r w:rsidRPr="00AD6150">
              <w:rPr>
                <w:b/>
              </w:rPr>
              <w:t>вписуваному рядку  605</w:t>
            </w:r>
            <w:r>
              <w:t xml:space="preserve">  відображаються  зобов'язання, пов'язані   з   необоротними  активами  та  групами  вибуття,  які утримуються для продажу,  що визначаються відповідно до  Положення (стандарту) 27. </w:t>
            </w:r>
          </w:p>
        </w:tc>
        <w:tc>
          <w:tcPr>
            <w:tcW w:w="7294" w:type="dxa"/>
          </w:tcPr>
          <w:p w:rsidR="00AD6150" w:rsidRPr="00AD6150" w:rsidRDefault="00AD6150" w:rsidP="008035B3">
            <w:pPr>
              <w:jc w:val="both"/>
              <w:rPr>
                <w:b/>
              </w:rPr>
            </w:pPr>
            <w:r>
              <w:rPr>
                <w:b/>
              </w:rPr>
              <w:t xml:space="preserve">2.27. </w:t>
            </w:r>
            <w:r>
              <w:t xml:space="preserve">У </w:t>
            </w:r>
            <w:r w:rsidRPr="00AD6150">
              <w:rPr>
                <w:b/>
              </w:rPr>
              <w:t>розділі IV. Зобов'язання, пов'язані з необоротними  активами,  утримуваними  для  продажу,  та   групами вибуття</w:t>
            </w:r>
            <w:r>
              <w:t xml:space="preserve"> відображаються  зобов'язання, пов'язані   з   необоротними  активами  та  групами  вибуття,  які утримуються для продажу,  що визначаються відповідно до  Положення (стандарту) 27.</w:t>
            </w:r>
          </w:p>
        </w:tc>
      </w:tr>
      <w:tr w:rsidR="00AD6150" w:rsidRPr="00DC599E" w:rsidTr="009A40AE">
        <w:trPr>
          <w:jc w:val="center"/>
        </w:trPr>
        <w:tc>
          <w:tcPr>
            <w:tcW w:w="7492" w:type="dxa"/>
          </w:tcPr>
          <w:p w:rsidR="00AD6150" w:rsidRDefault="00AD6150" w:rsidP="008035B3">
            <w:pPr>
              <w:jc w:val="both"/>
            </w:pPr>
            <w:r w:rsidRPr="0059430A">
              <w:rPr>
                <w:b/>
              </w:rPr>
              <w:t>2.30.</w:t>
            </w:r>
            <w:r>
              <w:t xml:space="preserve"> У статті "Поточні зобов'язання за розрахунками з оплати праці" відображається заборгованість за  нарахованою,  але  ще  не сплаченою  сумою  оплати праці,  а також за депонованою заробітною платою.  Заборгованість   працівників   перед   підприємством   за операціями  з  оплати  праці  наводиться  у  статті  "Інша поточна дебіторська заборгованість".</w:t>
            </w:r>
          </w:p>
          <w:p w:rsidR="00AD6150" w:rsidRPr="00AD6150" w:rsidRDefault="00AD6150" w:rsidP="008035B3">
            <w:pPr>
              <w:jc w:val="both"/>
              <w:rPr>
                <w:strike/>
              </w:rPr>
            </w:pPr>
            <w:bookmarkStart w:id="8" w:name="o76"/>
            <w:bookmarkEnd w:id="8"/>
            <w:r>
              <w:t xml:space="preserve">     </w:t>
            </w:r>
            <w:r w:rsidRPr="00AD6150">
              <w:rPr>
                <w:strike/>
              </w:rPr>
              <w:t xml:space="preserve">У рядку 665 наводиться сума заборгованості на кінець звітного періоду з виплат працівникам,  що не  погашена  (не  виплачена)  у встановлений колективним договором строк. </w:t>
            </w:r>
          </w:p>
        </w:tc>
        <w:tc>
          <w:tcPr>
            <w:tcW w:w="7294" w:type="dxa"/>
          </w:tcPr>
          <w:p w:rsidR="00AD6150" w:rsidRDefault="00AD6150" w:rsidP="008035B3">
            <w:pPr>
              <w:jc w:val="both"/>
              <w:rPr>
                <w:b/>
              </w:rPr>
            </w:pPr>
            <w:r>
              <w:rPr>
                <w:b/>
              </w:rPr>
              <w:t xml:space="preserve">2.28. </w:t>
            </w:r>
            <w:r>
              <w:t>У статті "Поточні зобов'язання за розрахунками з оплати праці" відображається заборгованість за  нарахованою,  але  ще  не сплаченою  сумою  оплати праці,  а також за депонованою заробітною платою.  Заборгованість   працівників   перед   підприємством   за операціями  з  оплати  праці  наводиться  у  статті  "Інша поточна дебіторська заборгованість".</w:t>
            </w:r>
          </w:p>
        </w:tc>
      </w:tr>
      <w:tr w:rsidR="00FC3BD8" w:rsidRPr="00DC599E" w:rsidTr="009A40AE">
        <w:trPr>
          <w:jc w:val="center"/>
        </w:trPr>
        <w:tc>
          <w:tcPr>
            <w:tcW w:w="7492" w:type="dxa"/>
          </w:tcPr>
          <w:p w:rsidR="00FC3BD8" w:rsidRPr="0059430A" w:rsidRDefault="00AD6150" w:rsidP="00610399">
            <w:pPr>
              <w:jc w:val="both"/>
            </w:pPr>
            <w:r w:rsidRPr="00AD6150">
              <w:rPr>
                <w:b/>
              </w:rPr>
              <w:t>2.31.</w:t>
            </w:r>
            <w:r w:rsidR="00610399">
              <w:t xml:space="preserve"> У статті "Інші поточні </w:t>
            </w:r>
            <w:r w:rsidRPr="00AD6150">
              <w:t>зобов'язання" відображаються суми зобов'яз</w:t>
            </w:r>
            <w:r w:rsidR="00610399">
              <w:t>ань,  які не включені до інших статей, наведених</w:t>
            </w:r>
            <w:r w:rsidRPr="00AD6150">
              <w:t xml:space="preserve"> у розділі   </w:t>
            </w:r>
            <w:r w:rsidR="00610399">
              <w:rPr>
                <w:b/>
              </w:rPr>
              <w:t>"Поточні</w:t>
            </w:r>
            <w:r w:rsidRPr="00AD6150">
              <w:rPr>
                <w:b/>
              </w:rPr>
              <w:t xml:space="preserve"> зобов'язання</w:t>
            </w:r>
            <w:r w:rsidR="00610399">
              <w:t xml:space="preserve">", зокрема заборгованість </w:t>
            </w:r>
            <w:r w:rsidRPr="00AD6150">
              <w:t xml:space="preserve">за </w:t>
            </w:r>
            <w:r w:rsidR="00610399">
              <w:t xml:space="preserve">одержаними  авансами, заборгованість засновникам у зв'язку з розподілом  прибутку, </w:t>
            </w:r>
            <w:r w:rsidRPr="00AD6150">
              <w:t>заборгованість пов'язаним сторонам,  сальдо субрахунку 644  "П</w:t>
            </w:r>
            <w:r w:rsidR="00610399">
              <w:t>одатковий  кредит"  рахунку 64</w:t>
            </w:r>
            <w:r w:rsidRPr="00AD6150">
              <w:t xml:space="preserve"> "Розрахунки  за податками й платежами" і сума валової заборгованості замовникам за будівельними контрактами. </w:t>
            </w:r>
          </w:p>
        </w:tc>
        <w:tc>
          <w:tcPr>
            <w:tcW w:w="7294" w:type="dxa"/>
          </w:tcPr>
          <w:p w:rsidR="00FC3BD8" w:rsidRPr="00AD6150" w:rsidRDefault="00AD6150" w:rsidP="00610399">
            <w:pPr>
              <w:jc w:val="both"/>
              <w:rPr>
                <w:b/>
              </w:rPr>
            </w:pPr>
            <w:r w:rsidRPr="00AD6150">
              <w:rPr>
                <w:b/>
              </w:rPr>
              <w:t xml:space="preserve">2.29. </w:t>
            </w:r>
            <w:r w:rsidR="00610399">
              <w:t>У статті</w:t>
            </w:r>
            <w:r w:rsidRPr="00AD6150">
              <w:t xml:space="preserve"> "</w:t>
            </w:r>
            <w:r w:rsidRPr="00B93270">
              <w:t>Інші  поточні  зобов'язання</w:t>
            </w:r>
            <w:r w:rsidRPr="00AD6150">
              <w:t xml:space="preserve">" відображаються суми зобов'язань,  які не включені до інших  статей,  наведених  у розділі   </w:t>
            </w:r>
            <w:r w:rsidR="00610399">
              <w:rPr>
                <w:b/>
              </w:rPr>
              <w:t>"</w:t>
            </w:r>
            <w:r w:rsidRPr="00AD6150">
              <w:rPr>
                <w:b/>
              </w:rPr>
              <w:t>Поточна кред</w:t>
            </w:r>
            <w:r w:rsidR="00610399">
              <w:rPr>
                <w:b/>
              </w:rPr>
              <w:t>иторська заборгованість</w:t>
            </w:r>
            <w:r w:rsidRPr="00AD6150">
              <w:rPr>
                <w:b/>
              </w:rPr>
              <w:t>"</w:t>
            </w:r>
            <w:r w:rsidRPr="00AD6150">
              <w:t>, зокрема   заборгован</w:t>
            </w:r>
            <w:r w:rsidR="00610399">
              <w:t>ість</w:t>
            </w:r>
            <w:r w:rsidR="0059430A">
              <w:t xml:space="preserve"> за </w:t>
            </w:r>
            <w:r w:rsidR="00610399">
              <w:t xml:space="preserve">одержаними авансами, </w:t>
            </w:r>
            <w:r w:rsidRPr="00AD6150">
              <w:t>заборгова</w:t>
            </w:r>
            <w:r w:rsidR="00610399">
              <w:t>ність  засновникам  у  зв'язку з розподілом прибутку,</w:t>
            </w:r>
            <w:r w:rsidRPr="00AD6150">
              <w:t xml:space="preserve"> забо</w:t>
            </w:r>
            <w:r w:rsidR="00610399">
              <w:t>ргованість пов'язаним сторонам,</w:t>
            </w:r>
            <w:r w:rsidRPr="00AD6150">
              <w:t xml:space="preserve"> сальдо субрахунку 644  "П</w:t>
            </w:r>
            <w:r w:rsidR="00610399">
              <w:t>одатковий  кредит"  рахунку 64</w:t>
            </w:r>
            <w:r w:rsidRPr="00AD6150">
              <w:t xml:space="preserve"> "Розрахунки  за податками й платежами" і сума валової заборгованості замовникам за будівельними контрактами.</w:t>
            </w:r>
          </w:p>
        </w:tc>
      </w:tr>
      <w:tr w:rsidR="0059430A" w:rsidRPr="00DC599E" w:rsidTr="009A40AE">
        <w:trPr>
          <w:jc w:val="center"/>
        </w:trPr>
        <w:tc>
          <w:tcPr>
            <w:tcW w:w="7492" w:type="dxa"/>
          </w:tcPr>
          <w:p w:rsidR="0059430A" w:rsidRPr="0059430A" w:rsidRDefault="0059430A" w:rsidP="008035B3">
            <w:pPr>
              <w:jc w:val="both"/>
            </w:pPr>
            <w:r w:rsidRPr="0059430A">
              <w:rPr>
                <w:b/>
              </w:rPr>
              <w:t>2.32.</w:t>
            </w:r>
            <w:r>
              <w:t xml:space="preserve"> </w:t>
            </w:r>
            <w:r w:rsidR="00610399">
              <w:rPr>
                <w:b/>
              </w:rPr>
              <w:t xml:space="preserve">До складу доходів  майбутніх періодів </w:t>
            </w:r>
            <w:r w:rsidRPr="0059430A">
              <w:rPr>
                <w:b/>
              </w:rPr>
              <w:t xml:space="preserve"> включаються</w:t>
            </w:r>
            <w:r>
              <w:t xml:space="preserve"> доходи,   отримані   протягом  поточного  або  попередніх  звітних періодів, які належать до наступних звітних періодів. </w:t>
            </w:r>
          </w:p>
        </w:tc>
        <w:tc>
          <w:tcPr>
            <w:tcW w:w="7294" w:type="dxa"/>
          </w:tcPr>
          <w:p w:rsidR="0059430A" w:rsidRPr="00AD6150" w:rsidRDefault="0059430A" w:rsidP="008035B3">
            <w:pPr>
              <w:jc w:val="both"/>
              <w:rPr>
                <w:b/>
              </w:rPr>
            </w:pPr>
            <w:r>
              <w:rPr>
                <w:b/>
              </w:rPr>
              <w:t xml:space="preserve">2.30. </w:t>
            </w:r>
            <w:r w:rsidR="00610399">
              <w:rPr>
                <w:b/>
              </w:rPr>
              <w:t xml:space="preserve">У статті "Доходи </w:t>
            </w:r>
            <w:r w:rsidRPr="0059430A">
              <w:rPr>
                <w:b/>
              </w:rPr>
              <w:t>майбутніх періодів" відображаються</w:t>
            </w:r>
            <w:r w:rsidR="00610399">
              <w:t xml:space="preserve"> доходи, отримані протягом поточного або</w:t>
            </w:r>
            <w:r>
              <w:t xml:space="preserve"> попередніх  звітних періодів, які належать до наступних звітних періодів.</w:t>
            </w:r>
          </w:p>
        </w:tc>
      </w:tr>
      <w:tr w:rsidR="003A3863" w:rsidRPr="00DC599E" w:rsidTr="009A40AE">
        <w:trPr>
          <w:jc w:val="center"/>
        </w:trPr>
        <w:tc>
          <w:tcPr>
            <w:tcW w:w="7492" w:type="dxa"/>
          </w:tcPr>
          <w:p w:rsidR="003A3863" w:rsidRPr="00277696" w:rsidRDefault="00277696" w:rsidP="008035B3">
            <w:pPr>
              <w:jc w:val="both"/>
            </w:pPr>
            <w:r w:rsidRPr="00277696">
              <w:t xml:space="preserve">5.1. </w:t>
            </w:r>
            <w:r w:rsidRPr="00781828">
              <w:rPr>
                <w:strike/>
              </w:rPr>
              <w:t xml:space="preserve">У  статті  "Дохід  (виручка)  від  реалізації  продукції (товарів, робіт, послуг)" відображається загальний дохід (виручка) від реалізації продукції, товарів, робіт і послуг. </w:t>
            </w:r>
            <w:bookmarkStart w:id="9" w:name="o83"/>
            <w:bookmarkEnd w:id="9"/>
          </w:p>
        </w:tc>
        <w:tc>
          <w:tcPr>
            <w:tcW w:w="7294" w:type="dxa"/>
          </w:tcPr>
          <w:p w:rsidR="003A3863" w:rsidRPr="00277696" w:rsidRDefault="00277696" w:rsidP="008035B3">
            <w:pPr>
              <w:jc w:val="both"/>
              <w:rPr>
                <w:b/>
              </w:rPr>
            </w:pPr>
            <w:bookmarkStart w:id="10" w:name="o94"/>
            <w:bookmarkStart w:id="11" w:name="o95"/>
            <w:bookmarkEnd w:id="10"/>
            <w:bookmarkEnd w:id="11"/>
            <w:r>
              <w:rPr>
                <w:b/>
              </w:rPr>
              <w:t>5.1. Виключено</w:t>
            </w:r>
          </w:p>
        </w:tc>
      </w:tr>
      <w:tr w:rsidR="0059430A" w:rsidRPr="00DC599E" w:rsidTr="009A40AE">
        <w:trPr>
          <w:jc w:val="center"/>
        </w:trPr>
        <w:tc>
          <w:tcPr>
            <w:tcW w:w="7492" w:type="dxa"/>
          </w:tcPr>
          <w:p w:rsidR="0059430A" w:rsidRPr="00277696" w:rsidRDefault="00277696" w:rsidP="008035B3">
            <w:pPr>
              <w:jc w:val="both"/>
            </w:pPr>
            <w:r w:rsidRPr="00277696">
              <w:t xml:space="preserve">5.2. </w:t>
            </w:r>
            <w:r w:rsidRPr="00781828">
              <w:rPr>
                <w:strike/>
              </w:rPr>
              <w:t>У  статті "Непрямі податки та інші вирахування з доходу" відображається сума податку на додану вартість,  акцизного податку та  інших вирахувань з доходу (надані знижки,  вартість повернутих товарів та інші обов'язкові збори).</w:t>
            </w:r>
            <w:r w:rsidRPr="00277696">
              <w:t xml:space="preserve"> </w:t>
            </w:r>
          </w:p>
        </w:tc>
        <w:tc>
          <w:tcPr>
            <w:tcW w:w="7294" w:type="dxa"/>
          </w:tcPr>
          <w:p w:rsidR="0059430A" w:rsidRPr="00277696" w:rsidRDefault="00277696" w:rsidP="008035B3">
            <w:pPr>
              <w:jc w:val="both"/>
              <w:rPr>
                <w:b/>
              </w:rPr>
            </w:pPr>
            <w:r>
              <w:rPr>
                <w:b/>
              </w:rPr>
              <w:t>5.2. Виключено</w:t>
            </w:r>
          </w:p>
        </w:tc>
      </w:tr>
      <w:tr w:rsidR="0059430A" w:rsidRPr="00DC599E" w:rsidTr="009A40AE">
        <w:trPr>
          <w:jc w:val="center"/>
        </w:trPr>
        <w:tc>
          <w:tcPr>
            <w:tcW w:w="7492" w:type="dxa"/>
          </w:tcPr>
          <w:p w:rsidR="0059430A" w:rsidRPr="003A3863" w:rsidRDefault="00F025CB" w:rsidP="008035B3">
            <w:pPr>
              <w:jc w:val="both"/>
            </w:pPr>
            <w:r w:rsidRPr="00F025CB">
              <w:rPr>
                <w:b/>
              </w:rPr>
              <w:t>5.3.</w:t>
            </w:r>
            <w:r w:rsidRPr="00F025CB">
              <w:t xml:space="preserve"> </w:t>
            </w:r>
            <w:r w:rsidRPr="00F025CB">
              <w:rPr>
                <w:strike/>
              </w:rPr>
              <w:t>Чистий  дохід   (виручка)   від   реалізації   продукції (товарів,  робіт, послуг) визначається шляхом вирахування з доходу (виручки)  від  реалізації  продукції  (товарів,  робіт,   послуг) непрямих податків та інших вирахувань з доходу.</w:t>
            </w:r>
            <w:r w:rsidRPr="00F025CB">
              <w:t xml:space="preserve"> </w:t>
            </w:r>
          </w:p>
        </w:tc>
        <w:tc>
          <w:tcPr>
            <w:tcW w:w="7294" w:type="dxa"/>
          </w:tcPr>
          <w:p w:rsidR="0059430A" w:rsidRPr="00277696" w:rsidRDefault="00F025CB" w:rsidP="008035B3">
            <w:pPr>
              <w:jc w:val="both"/>
              <w:rPr>
                <w:b/>
              </w:rPr>
            </w:pPr>
            <w:r>
              <w:rPr>
                <w:b/>
              </w:rPr>
              <w:t xml:space="preserve">5.1. </w:t>
            </w:r>
            <w:r>
              <w:t>У   статті   "Чистий  дохід  від  реалізації  продукції (товарів,  робіт,  послуг)  відображається  дохід  від  реалізації продукції,  товарів, робіт і послуг без непрямих податків і зборів та інших вирахувань з доходу.</w:t>
            </w:r>
          </w:p>
        </w:tc>
      </w:tr>
      <w:tr w:rsidR="0059430A" w:rsidRPr="00DC599E" w:rsidTr="009A40AE">
        <w:trPr>
          <w:jc w:val="center"/>
        </w:trPr>
        <w:tc>
          <w:tcPr>
            <w:tcW w:w="7492" w:type="dxa"/>
          </w:tcPr>
          <w:p w:rsidR="0059430A" w:rsidRPr="00F025CB" w:rsidRDefault="00F025CB" w:rsidP="008035B3">
            <w:pPr>
              <w:jc w:val="both"/>
            </w:pPr>
            <w:r w:rsidRPr="00F025CB">
              <w:rPr>
                <w:b/>
              </w:rPr>
              <w:t>5.4.</w:t>
            </w:r>
            <w:r w:rsidRPr="00F025CB">
              <w:t xml:space="preserve"> У  статті  "Інші  операційні доходи" відображаються суми інших доходів від операційної діяльності підприємства, крім доходу (виручки) від реалізації продукції (товарів, робіт, послуг): дохід від операційної оренди активів;  дохід  від  операційних  курсових </w:t>
            </w:r>
            <w:r w:rsidRPr="00F025CB">
              <w:br/>
              <w:t xml:space="preserve">різниць;   відшкодування   раніше   списаних  активів;  дохід  від реалізації  оборотних  активів   (крім   фінансових   інвестицій), необоротних  активів,  утримуваних  для  продажу,  та груп вибуття тощо.  Дохід  від  первісного  визнання  біологічних   активів   і </w:t>
            </w:r>
            <w:r w:rsidRPr="00F025CB">
              <w:br/>
              <w:t xml:space="preserve">сільськогосподарської   продукції  та  дохід  від  зміни  вартості поточних  біологічних  активів   </w:t>
            </w:r>
            <w:r w:rsidRPr="00F025CB">
              <w:rPr>
                <w:b/>
              </w:rPr>
              <w:t>наводяться   лише   довідково   у вписуваному рядку 201</w:t>
            </w:r>
            <w:r w:rsidRPr="00F025CB">
              <w:t xml:space="preserve">. </w:t>
            </w:r>
          </w:p>
        </w:tc>
        <w:tc>
          <w:tcPr>
            <w:tcW w:w="7294" w:type="dxa"/>
          </w:tcPr>
          <w:p w:rsidR="0059430A" w:rsidRPr="00F025CB" w:rsidRDefault="00F025CB" w:rsidP="008035B3">
            <w:pPr>
              <w:jc w:val="both"/>
              <w:rPr>
                <w:b/>
                <w:color w:val="000000"/>
              </w:rPr>
            </w:pPr>
            <w:r w:rsidRPr="00F025CB">
              <w:rPr>
                <w:b/>
                <w:color w:val="000000"/>
              </w:rPr>
              <w:t xml:space="preserve">5.2. </w:t>
            </w:r>
            <w:r w:rsidRPr="00610399">
              <w:t xml:space="preserve">У  статті  "Інші  операційні доходи" відображаються суми інших доходів від операційної діяльності підприємства, крім доходу (виручки) від реалізації продукції (товарів, робіт, послуг): дохід від операційної оренди активів;  дохід  від  операційних  курсових різниць;   відшкодування   раніше   списаних  активів;  дохід  від реалізації  оборотних  активів   (крім   фінансових   інвестицій), необоротних  активів,  утримуваних  для  продажу,  та груп вибуття тощо.  Дохід  від  первісного  визнання  біологічних   активів   і сільськогосподарської   продукції  та  дохід  від  зміни  вартості поточних  біологічних  активів  </w:t>
            </w:r>
            <w:r w:rsidRPr="00610399">
              <w:rPr>
                <w:b/>
              </w:rPr>
              <w:t>також наводяться у цій статті.</w:t>
            </w:r>
          </w:p>
        </w:tc>
      </w:tr>
      <w:tr w:rsidR="00F025CB" w:rsidRPr="00DC599E" w:rsidTr="009A40AE">
        <w:trPr>
          <w:jc w:val="center"/>
        </w:trPr>
        <w:tc>
          <w:tcPr>
            <w:tcW w:w="7492" w:type="dxa"/>
          </w:tcPr>
          <w:p w:rsidR="00F025CB" w:rsidRPr="00F025CB" w:rsidRDefault="00F025CB" w:rsidP="008035B3">
            <w:pPr>
              <w:jc w:val="both"/>
            </w:pPr>
            <w:r w:rsidRPr="00F025CB">
              <w:rPr>
                <w:b/>
              </w:rPr>
              <w:t>5.7.</w:t>
            </w:r>
            <w:r w:rsidRPr="00F025CB">
              <w:t xml:space="preserve">   У   статті   "Інші   операційні   витрати"  наводяться адміністративні  витрати,  витрати  на  збут, а також собівартість реалізованих  оборотних активів (крім готової продукції, товарів і фінансових   інвестицій),  необоротних  активів,  утримуваних  для </w:t>
            </w:r>
            <w:r w:rsidRPr="00F025CB">
              <w:br/>
              <w:t xml:space="preserve">продажу,  та  груп  вибуття;  відрахування  на  створення  резерву сумнівних  боргів  і  сума списаних безнадійних боргів; втрати від знецінення  виробничих  запасів;  втрати  від операційних курсових різниць; визнані економічні санкції; відрахування для забезпечення </w:t>
            </w:r>
            <w:r w:rsidRPr="00F025CB">
              <w:br/>
              <w:t xml:space="preserve">відшкодування  наступних  операційних  витрат;  інші  витрати,  що пов'язані  з  операційною  діяльністю  підприємства.  У цій статті також   відображається   належна   до  сплати  за  звітний  період відповідно  до  законодавства  сума  податків  і зборів. </w:t>
            </w:r>
            <w:r w:rsidRPr="00F025CB">
              <w:rPr>
                <w:strike/>
              </w:rPr>
              <w:t xml:space="preserve">Конкретна </w:t>
            </w:r>
            <w:r w:rsidRPr="00F025CB">
              <w:rPr>
                <w:strike/>
              </w:rPr>
              <w:br/>
              <w:t>назва податку або збору і відповідна сума наводяться у рядку 091.</w:t>
            </w:r>
          </w:p>
          <w:p w:rsidR="00F025CB" w:rsidRPr="00F025CB" w:rsidRDefault="00F025CB" w:rsidP="008035B3">
            <w:pPr>
              <w:jc w:val="both"/>
            </w:pPr>
            <w:bookmarkStart w:id="12" w:name="o90"/>
            <w:bookmarkEnd w:id="12"/>
            <w:r w:rsidRPr="00F025CB">
              <w:t xml:space="preserve">     Витрати від  первісного  визнання   біологічних   активів   і сільськогосподарської  продукції  та  витрати  від  зміни вартості поточних  біологічних  активів   </w:t>
            </w:r>
            <w:r w:rsidRPr="00F025CB">
              <w:rPr>
                <w:b/>
              </w:rPr>
              <w:t>наводяться   лише   довідково   у вписуваному рядку 202</w:t>
            </w:r>
            <w:r w:rsidRPr="00F025CB">
              <w:t>.</w:t>
            </w:r>
            <w:bookmarkStart w:id="13" w:name="o91"/>
            <w:bookmarkEnd w:id="13"/>
          </w:p>
        </w:tc>
        <w:tc>
          <w:tcPr>
            <w:tcW w:w="7294" w:type="dxa"/>
          </w:tcPr>
          <w:p w:rsidR="00F025CB" w:rsidRPr="00F025CB" w:rsidRDefault="00F025CB" w:rsidP="008035B3">
            <w:pPr>
              <w:jc w:val="both"/>
            </w:pPr>
            <w:r w:rsidRPr="00F025CB">
              <w:rPr>
                <w:b/>
              </w:rPr>
              <w:t xml:space="preserve">5.5. </w:t>
            </w:r>
            <w:r w:rsidRPr="00F025CB">
              <w:t xml:space="preserve">У   статті   "Інші   операційні   витрати"  наводяться адміністративні  витрати,  витрати  на  збут, а також собівартість реалізованих  оборотних активів (крім готової продукції, товарів і фінансових   інвестицій),  необоротних  активів,  утримуваних  для </w:t>
            </w:r>
            <w:r w:rsidRPr="00F025CB">
              <w:br/>
              <w:t xml:space="preserve">продажу,  та  груп  вибуття;  відрахування  на  створення  резерву сумнівних  боргів  і  сума списаних безнадійних боргів; втрати від знецінення  виробничих  запасів;  втрати  від операційних курсових різниць; визнані економічні санкції; відрахування для забезпечення </w:t>
            </w:r>
            <w:r w:rsidRPr="00F025CB">
              <w:br/>
              <w:t>відшкодування  наступних  операційних  витрат;  інші  витрати,  що пов'язані  з  операційною  діяльністю  підприємства.  У цій статті також   відображається   належна   до  сплати  за  звітний  період відповідно  до  законодавства  сума  податків  і зборів.</w:t>
            </w:r>
          </w:p>
          <w:p w:rsidR="00F025CB" w:rsidRPr="00F025CB" w:rsidRDefault="00F025CB" w:rsidP="008035B3">
            <w:pPr>
              <w:jc w:val="both"/>
              <w:rPr>
                <w:b/>
              </w:rPr>
            </w:pPr>
            <w:r w:rsidRPr="00F025CB">
              <w:t xml:space="preserve">     Витрати від  первісного  визнання   біологічних   активів   і сільськогосподарської  продукції  та  витрати  від  зміни вартості поточних  біологічних</w:t>
            </w:r>
            <w:r w:rsidR="00781828">
              <w:t xml:space="preserve"> активів</w:t>
            </w:r>
            <w:r w:rsidRPr="00F025CB">
              <w:t xml:space="preserve">  </w:t>
            </w:r>
            <w:r w:rsidRPr="00781828">
              <w:rPr>
                <w:b/>
                <w:color w:val="000000"/>
                <w:sz w:val="21"/>
                <w:szCs w:val="21"/>
              </w:rPr>
              <w:t>також наводяться у цій статті</w:t>
            </w:r>
            <w:r w:rsidRPr="00F025CB">
              <w:rPr>
                <w:color w:val="000000"/>
                <w:sz w:val="21"/>
                <w:szCs w:val="21"/>
              </w:rPr>
              <w:t>.</w:t>
            </w:r>
          </w:p>
        </w:tc>
      </w:tr>
      <w:tr w:rsidR="00781828" w:rsidRPr="00DC599E" w:rsidTr="008E2B85">
        <w:trPr>
          <w:jc w:val="center"/>
        </w:trPr>
        <w:tc>
          <w:tcPr>
            <w:tcW w:w="0" w:type="auto"/>
            <w:gridSpan w:val="2"/>
          </w:tcPr>
          <w:p w:rsidR="00781828" w:rsidRPr="00781828" w:rsidRDefault="00781828" w:rsidP="00781828">
            <w:pPr>
              <w:pStyle w:val="HTML"/>
              <w:shd w:val="clear" w:color="auto" w:fill="FFFFFF"/>
              <w:jc w:val="center"/>
              <w:textAlignment w:val="baseline"/>
              <w:rPr>
                <w:rFonts w:ascii="Times New Roman" w:hAnsi="Times New Roman" w:cs="Times New Roman"/>
                <w:b/>
                <w:color w:val="000000"/>
                <w:sz w:val="24"/>
                <w:szCs w:val="24"/>
                <w:lang w:val="uk-UA"/>
              </w:rPr>
            </w:pPr>
            <w:bookmarkStart w:id="14" w:name="o100"/>
            <w:bookmarkStart w:id="15" w:name="o103"/>
            <w:bookmarkEnd w:id="14"/>
            <w:bookmarkEnd w:id="15"/>
            <w:r w:rsidRPr="00781828">
              <w:rPr>
                <w:rFonts w:ascii="Times New Roman" w:hAnsi="Times New Roman" w:cs="Times New Roman"/>
                <w:b/>
                <w:color w:val="000000"/>
                <w:sz w:val="24"/>
                <w:szCs w:val="24"/>
                <w:lang w:val="uk-UA"/>
              </w:rPr>
              <w:t>Розділ III. Спрощений фінансовий звіт суб'єкта малого підприємництва</w:t>
            </w:r>
          </w:p>
        </w:tc>
      </w:tr>
      <w:tr w:rsidR="0059430A" w:rsidRPr="00DC599E" w:rsidTr="009A40AE">
        <w:trPr>
          <w:jc w:val="center"/>
        </w:trPr>
        <w:tc>
          <w:tcPr>
            <w:tcW w:w="7492" w:type="dxa"/>
          </w:tcPr>
          <w:p w:rsidR="00290DEB" w:rsidRDefault="00290DEB" w:rsidP="008035B3">
            <w:pPr>
              <w:pStyle w:val="a8"/>
              <w:numPr>
                <w:ilvl w:val="1"/>
                <w:numId w:val="1"/>
              </w:numPr>
              <w:jc w:val="both"/>
            </w:pPr>
            <w:r>
              <w:t>…</w:t>
            </w:r>
          </w:p>
          <w:p w:rsidR="0059430A" w:rsidRPr="00781828" w:rsidRDefault="00781828" w:rsidP="008035B3">
            <w:pPr>
              <w:pStyle w:val="a8"/>
              <w:ind w:left="0"/>
              <w:jc w:val="both"/>
            </w:pPr>
            <w:r w:rsidRPr="00781828">
              <w:t xml:space="preserve">У статті наводяться </w:t>
            </w:r>
            <w:r w:rsidRPr="00290DEB">
              <w:rPr>
                <w:b/>
              </w:rPr>
              <w:t>окремо  первісна  та  залишкова</w:t>
            </w:r>
            <w:r w:rsidRPr="00781828">
              <w:t xml:space="preserve">  вартість основних  засобів,  нематеріальних  активів  та  інших необоротних матеріальних активів,  а також нарахована в установленому  порядку сума   їх  зносу  (у  дужках).  До  підсумку  балансу  включається залишкова вартість,  яка визначається  як  різниця  між  первісною вартістю  вказаних  необоротних  активів  і сумою їх зносу на дату балансу.  Облік  основних  засобів  і  нематеріальних  активів  та нарахування   амортизації  здійснюються  відповідно  до  Положення (стандарту)   бухгалтерського   обліку   7    "Основні    засоби", затвердженого наказом Міністерства фінансів України від 27.04.2000 N 92,  зареєстрованого в Міністерстві юстиції України 18.05.2000 за N 288/4509, та Положення (стандарту) бухгалтерського обліку   8   "Нематеріальні   активи",    затвердженого    наказом Міністерства  фінансів  України  від 18.10.99 N 242, зареєстрованого в  Міністерстві  юстиції   України   02.11.99   за N 750/4043. </w:t>
            </w:r>
          </w:p>
        </w:tc>
        <w:tc>
          <w:tcPr>
            <w:tcW w:w="7294" w:type="dxa"/>
          </w:tcPr>
          <w:p w:rsidR="00290DEB" w:rsidRDefault="00290DEB" w:rsidP="008035B3">
            <w:pPr>
              <w:pStyle w:val="a8"/>
              <w:numPr>
                <w:ilvl w:val="1"/>
                <w:numId w:val="2"/>
              </w:numPr>
              <w:jc w:val="both"/>
            </w:pPr>
            <w:r>
              <w:t>…</w:t>
            </w:r>
          </w:p>
          <w:p w:rsidR="0059430A" w:rsidRPr="00781828" w:rsidRDefault="00781828" w:rsidP="00610399">
            <w:pPr>
              <w:pStyle w:val="a8"/>
              <w:ind w:left="49"/>
              <w:jc w:val="both"/>
            </w:pPr>
            <w:r w:rsidRPr="00781828">
              <w:t xml:space="preserve">У статті наводяться </w:t>
            </w:r>
            <w:r w:rsidRPr="00290DEB">
              <w:rPr>
                <w:b/>
              </w:rPr>
              <w:t xml:space="preserve">залишкова  та  окремо первісна (переоцінена) </w:t>
            </w:r>
            <w:r w:rsidRPr="00781828">
              <w:t>вартість основних  засобів,  нематеріальних  активів  та  інших необоротних матеріальних активів,  а також нарахована в установленому  порядку сума   їх  зносу  (у  дужках).  До  підсумку  балансу  включається залишкова вартість, яка визначається  як  різниця  між  первісною вартістю  вказаних  необоротних  активів  і сумою їх зносу на дату балансу. Облік  основних  засобів  і  нематеріальних активів та нарахування амортизації  здійснюються  відповідно до  Положення (стандарту)   бухгалтерського обліку 7  "Основні</w:t>
            </w:r>
            <w:r w:rsidR="00610399">
              <w:t xml:space="preserve"> </w:t>
            </w:r>
            <w:r w:rsidRPr="00781828">
              <w:t xml:space="preserve">засоби", затвердженого наказом Міністерства фінансів України від 27.04.2000 N 92,  зареєстрованого в Міністерстві юстиції України 18.05.2000 за N 288/4509, та Положення (стандарту) бухгалтерського обліку   8   "Нематеріальні   активи",  затвердженого  наказом Міністерства  фінансів  України  від 18.10.99 N 242, зареєстрованого в  Міністерстві  юстиції   України   02.11.99   за N 750/4043. </w:t>
            </w:r>
          </w:p>
        </w:tc>
      </w:tr>
      <w:tr w:rsidR="0059430A" w:rsidRPr="00DC599E" w:rsidTr="009A40AE">
        <w:trPr>
          <w:jc w:val="center"/>
        </w:trPr>
        <w:tc>
          <w:tcPr>
            <w:tcW w:w="7492" w:type="dxa"/>
          </w:tcPr>
          <w:p w:rsidR="0059430A" w:rsidRPr="00781828" w:rsidRDefault="00781828" w:rsidP="008035B3">
            <w:pPr>
              <w:jc w:val="both"/>
              <w:rPr>
                <w:color w:val="000000"/>
              </w:rPr>
            </w:pPr>
            <w:r w:rsidRPr="00781828">
              <w:rPr>
                <w:color w:val="000000"/>
              </w:rPr>
              <w:t xml:space="preserve">1.5. </w:t>
            </w:r>
            <w:r w:rsidRPr="00781828">
              <w:rPr>
                <w:strike/>
                <w:color w:val="000000"/>
              </w:rPr>
              <w:t xml:space="preserve">У   статті   "Грошові   кошти   та    їх    еквіваленти" відображаються  кошти  в  касі,  на  поточних  та інших рахунках у банках, які можуть бути використані для поточних операцій, а також еквіваленти грошових коштів.  У цій статті окремо наводяться кошти </w:t>
            </w:r>
            <w:r w:rsidRPr="00781828">
              <w:rPr>
                <w:strike/>
                <w:color w:val="000000"/>
              </w:rPr>
              <w:br/>
              <w:t xml:space="preserve">в  національній  та  іноземній  валютах.  Кошти,  які   не   можна використати  для  операцій протягом одного року,  починаючи з дати балансу,  або  протягом  операційного  циклу  внаслідок  обмежень, відображаються у складі інших необоротних активів. </w:t>
            </w:r>
          </w:p>
        </w:tc>
        <w:tc>
          <w:tcPr>
            <w:tcW w:w="7294" w:type="dxa"/>
          </w:tcPr>
          <w:p w:rsidR="0059430A" w:rsidRPr="00781828" w:rsidRDefault="00781828" w:rsidP="00610399">
            <w:pPr>
              <w:jc w:val="both"/>
              <w:rPr>
                <w:b/>
                <w:color w:val="000000"/>
              </w:rPr>
            </w:pPr>
            <w:r w:rsidRPr="00781828">
              <w:rPr>
                <w:color w:val="000000"/>
              </w:rPr>
              <w:t>1.5. У  статті  "Гроші  та  їх  еквіваленти"  відображаються готівка в касі підприємства,  гроші на поточних та інших  рахунках у банках,   які   можуть  бути  вільно  використані  для  поточних операцій,  а також  грошові  кошти  в  дорозі,  електронні  гроші, еквіваленти  грошей.  У цій статті наводяться кошти в національній або  іноземних  валютах.  Кошти,  які  не  можна  використати  для операцій  протягом  одного  року,  починаючи  з дати балансу,  або протягом операційного циклу внаслідок  обмежень,  виключаються  зі складу оборотних активів та відображаються як необоротні активи.</w:t>
            </w:r>
          </w:p>
        </w:tc>
      </w:tr>
      <w:tr w:rsidR="0059430A" w:rsidRPr="00DC599E" w:rsidTr="009A40AE">
        <w:trPr>
          <w:jc w:val="center"/>
        </w:trPr>
        <w:tc>
          <w:tcPr>
            <w:tcW w:w="7492" w:type="dxa"/>
          </w:tcPr>
          <w:p w:rsidR="00781828" w:rsidRPr="00781828" w:rsidRDefault="00781828" w:rsidP="008035B3">
            <w:pPr>
              <w:jc w:val="both"/>
            </w:pPr>
            <w:r w:rsidRPr="00781828">
              <w:t xml:space="preserve">1.9. У  складі  цільового фінансування відображаються залишки коштів цільового фінансування і цільових надходжень з  бюджету  та інших  джерел,  у  тому  числі суми коштів,  що не перераховані до бюджету  при  </w:t>
            </w:r>
            <w:r w:rsidR="00863E85">
              <w:t>з</w:t>
            </w:r>
            <w:r w:rsidRPr="00781828">
              <w:t xml:space="preserve">астосуванні  ставки  податку   на   прибуток   нуль </w:t>
            </w:r>
            <w:r w:rsidRPr="00781828">
              <w:br/>
              <w:t xml:space="preserve">відсотків. </w:t>
            </w:r>
          </w:p>
          <w:p w:rsidR="0059430A" w:rsidRPr="003A3863" w:rsidRDefault="0059430A" w:rsidP="008035B3">
            <w:pPr>
              <w:jc w:val="both"/>
              <w:rPr>
                <w:strike/>
              </w:rPr>
            </w:pPr>
          </w:p>
        </w:tc>
        <w:tc>
          <w:tcPr>
            <w:tcW w:w="7294" w:type="dxa"/>
          </w:tcPr>
          <w:p w:rsidR="0059430A" w:rsidRPr="00781828" w:rsidRDefault="00863E85" w:rsidP="008035B3">
            <w:pPr>
              <w:jc w:val="both"/>
              <w:rPr>
                <w:b/>
                <w:color w:val="000000"/>
              </w:rPr>
            </w:pPr>
            <w:r>
              <w:rPr>
                <w:b/>
                <w:color w:val="000000"/>
              </w:rPr>
              <w:t>1.9. Виключено</w:t>
            </w:r>
          </w:p>
        </w:tc>
      </w:tr>
      <w:tr w:rsidR="0059430A" w:rsidRPr="00DC599E" w:rsidTr="009A40AE">
        <w:trPr>
          <w:jc w:val="center"/>
        </w:trPr>
        <w:tc>
          <w:tcPr>
            <w:tcW w:w="7492" w:type="dxa"/>
          </w:tcPr>
          <w:p w:rsidR="00863E85" w:rsidRPr="00863E85" w:rsidRDefault="00863E85" w:rsidP="008035B3">
            <w:pPr>
              <w:jc w:val="both"/>
            </w:pPr>
            <w:r w:rsidRPr="00863E85">
              <w:rPr>
                <w:b/>
              </w:rPr>
              <w:t>1.10.</w:t>
            </w:r>
            <w:r w:rsidRPr="00863E85">
              <w:t xml:space="preserve"> </w:t>
            </w:r>
            <w:r w:rsidRPr="00863E85">
              <w:rPr>
                <w:strike/>
              </w:rPr>
              <w:t>У  розділі "Довгострокові зобов'язання" наводиться сума заборгованості підприємства банкам за отримані від них позики, яка не  є  поточним зобов'язанням,  сума довгострокової заборгованості підприємства за зобов'язаннями  щодо  залучення  позикових  коштів (крім  кредитів  банків),  на  які  нараховуються відсотки,  та за іншими довгостроковими зобов'язаннями.</w:t>
            </w:r>
          </w:p>
          <w:p w:rsidR="0059430A" w:rsidRPr="00863E85" w:rsidRDefault="0059430A" w:rsidP="008035B3">
            <w:pPr>
              <w:jc w:val="both"/>
            </w:pPr>
          </w:p>
        </w:tc>
        <w:tc>
          <w:tcPr>
            <w:tcW w:w="7294" w:type="dxa"/>
          </w:tcPr>
          <w:p w:rsidR="0059430A" w:rsidRPr="00781828" w:rsidRDefault="00863E85" w:rsidP="00610399">
            <w:pPr>
              <w:jc w:val="both"/>
              <w:rPr>
                <w:b/>
              </w:rPr>
            </w:pPr>
            <w:r w:rsidRPr="00863E85">
              <w:rPr>
                <w:b/>
              </w:rPr>
              <w:t>1.9.</w:t>
            </w:r>
            <w:r>
              <w:t xml:space="preserve"> </w:t>
            </w:r>
            <w:r w:rsidRPr="00610399">
              <w:rPr>
                <w:b/>
              </w:rPr>
              <w:t xml:space="preserve">У статтях розділу "Довгострокові зобов'язання,  цільове </w:t>
            </w:r>
            <w:r w:rsidRPr="00610399">
              <w:rPr>
                <w:b/>
              </w:rPr>
              <w:br/>
              <w:t>фінансування   та  забезпечення"  наводиться  сума  заборгованості підприємства банкам за отримані від них кредити, яка не є поточним зобов'язанням,  сума довгострокової заборгованості підприємства за зобов'язаннями щодо  залучення  позикових  коштів  (крім  кредитів банків),   на   які   нараховуються   відсотки,   та   за   іншими довгостроковими зобов'язаннями.  У  цьому  розділі  відображається сума  залишку коштів цільового фінансування і цільових надходжень, які отримані з бюджету та з інших джерел,  у  тому  числі  коштів, вивільнених від оподаткування у зв'язку з наданням пільг з податку на  прибуток  підприємств,   а   також   суми   забезпечення   для відшкодування  наступних  витрат  і платежів (на виплату відпусток працівникам, виконання гарантійних зобов'язань тощо).</w:t>
            </w:r>
          </w:p>
        </w:tc>
      </w:tr>
      <w:tr w:rsidR="0059430A" w:rsidRPr="00DC599E" w:rsidTr="009A40AE">
        <w:trPr>
          <w:jc w:val="center"/>
        </w:trPr>
        <w:tc>
          <w:tcPr>
            <w:tcW w:w="7492" w:type="dxa"/>
          </w:tcPr>
          <w:p w:rsidR="0059430A" w:rsidRPr="00863E85" w:rsidRDefault="00863E85" w:rsidP="008035B3">
            <w:pPr>
              <w:jc w:val="both"/>
            </w:pPr>
            <w:r>
              <w:t>1.12. У   статті   "</w:t>
            </w:r>
            <w:r w:rsidRPr="00863E85">
              <w:rPr>
                <w:b/>
              </w:rPr>
              <w:t>Кредиторська</w:t>
            </w:r>
            <w:r>
              <w:t xml:space="preserve">  заборгованість  за  товари, роботи, послуги" відображається сума заборгованості постачальникам і підрядникам за матеріальні цінності, виконані роботи та отримані послуги,  включаючи заборгованість,  забезпечену векселями.  У цій статті   також  відображається  заборгованість  постачальникам  за невідфактуровані    поставки    і    розрахунки     з     надлишку </w:t>
            </w:r>
            <w:r>
              <w:br/>
              <w:t xml:space="preserve">товарно-матеріальних цінностей, який встановлено при їх прийманні. </w:t>
            </w:r>
          </w:p>
        </w:tc>
        <w:tc>
          <w:tcPr>
            <w:tcW w:w="7294" w:type="dxa"/>
          </w:tcPr>
          <w:p w:rsidR="0059430A" w:rsidRPr="00781828" w:rsidRDefault="00863E85" w:rsidP="008035B3">
            <w:pPr>
              <w:jc w:val="both"/>
              <w:rPr>
                <w:b/>
              </w:rPr>
            </w:pPr>
            <w:r>
              <w:rPr>
                <w:b/>
              </w:rPr>
              <w:t xml:space="preserve">1.11. </w:t>
            </w:r>
            <w:r>
              <w:t xml:space="preserve">У   статті   " </w:t>
            </w:r>
            <w:r w:rsidRPr="00863E85">
              <w:rPr>
                <w:b/>
              </w:rPr>
              <w:t>Поточна кредиторська</w:t>
            </w:r>
            <w:r>
              <w:t xml:space="preserve">  заборгованість  за  товари, роботи, послуги" відображається сума заборгованості постачальникам і підрядникам за матеріальні цінності, виконані роботи та отримані послуги,  включаючи заборгованість,  забезпечену векселями.  У цій статті   також  відображається  заборгованість  постачальникам  за невідфактуровані    поставки    і    розрахунки     з     надлишку </w:t>
            </w:r>
            <w:r>
              <w:br/>
              <w:t>товарно-матеріальних цінностей, який встановлено при їх прийманні.</w:t>
            </w:r>
          </w:p>
        </w:tc>
      </w:tr>
      <w:tr w:rsidR="00863E85" w:rsidRPr="00DC599E" w:rsidTr="009A40AE">
        <w:trPr>
          <w:jc w:val="center"/>
        </w:trPr>
        <w:tc>
          <w:tcPr>
            <w:tcW w:w="7492" w:type="dxa"/>
          </w:tcPr>
          <w:p w:rsidR="00863E85" w:rsidRPr="00863E85" w:rsidRDefault="00863E85" w:rsidP="008035B3">
            <w:pPr>
              <w:jc w:val="both"/>
            </w:pPr>
            <w:r w:rsidRPr="00863E85">
              <w:rPr>
                <w:b/>
              </w:rPr>
              <w:t>1.13.</w:t>
            </w:r>
            <w:r>
              <w:t xml:space="preserve"> У   статті  "</w:t>
            </w:r>
            <w:r w:rsidRPr="00863E85">
              <w:rPr>
                <w:b/>
              </w:rPr>
              <w:t>Поточні  зобов'язання</w:t>
            </w:r>
            <w:r>
              <w:t xml:space="preserve">  за  розрахунками  з бюджетом"  відображається  заборгованість  підприємства  за  всіма видами  платежів до бюджету,  включаючи суму податку з працівників </w:t>
            </w:r>
            <w:r>
              <w:br/>
              <w:t xml:space="preserve">підприємства. </w:t>
            </w:r>
          </w:p>
        </w:tc>
        <w:tc>
          <w:tcPr>
            <w:tcW w:w="7294" w:type="dxa"/>
          </w:tcPr>
          <w:p w:rsidR="00863E85" w:rsidRPr="00863E85" w:rsidRDefault="00863E85" w:rsidP="008035B3">
            <w:pPr>
              <w:jc w:val="both"/>
            </w:pPr>
            <w:r w:rsidRPr="00863E85">
              <w:rPr>
                <w:b/>
              </w:rPr>
              <w:t>1.12.</w:t>
            </w:r>
            <w:r>
              <w:t xml:space="preserve"> У   статті  "</w:t>
            </w:r>
            <w:r w:rsidRPr="00863E85">
              <w:rPr>
                <w:b/>
              </w:rPr>
              <w:t>Поточна кредиторська заборгованість</w:t>
            </w:r>
            <w:r>
              <w:t xml:space="preserve"> за  розрахунками  з бюджетом"  відображається  заборгованість  підприємства  за  всіма видами  платежів до бюджету,  включаючи суму податку з працівників </w:t>
            </w:r>
            <w:r>
              <w:br/>
              <w:t xml:space="preserve">підприємства. </w:t>
            </w:r>
          </w:p>
        </w:tc>
      </w:tr>
      <w:tr w:rsidR="00863E85" w:rsidRPr="00DC599E" w:rsidTr="009A40AE">
        <w:trPr>
          <w:jc w:val="center"/>
        </w:trPr>
        <w:tc>
          <w:tcPr>
            <w:tcW w:w="7492" w:type="dxa"/>
          </w:tcPr>
          <w:p w:rsidR="00863E85" w:rsidRPr="00863E85" w:rsidRDefault="00863E85" w:rsidP="008035B3">
            <w:pPr>
              <w:jc w:val="both"/>
            </w:pPr>
            <w:r w:rsidRPr="00863E85">
              <w:rPr>
                <w:b/>
              </w:rPr>
              <w:t>1.14.</w:t>
            </w:r>
            <w:r w:rsidRPr="00863E85">
              <w:t xml:space="preserve"> У  статті  "</w:t>
            </w:r>
            <w:r w:rsidRPr="00863E85">
              <w:rPr>
                <w:b/>
              </w:rPr>
              <w:t>Поточні  зобов'язання</w:t>
            </w:r>
            <w:r w:rsidRPr="00863E85">
              <w:t xml:space="preserve">  за  розрахунками  зі страхування"  відображається  сума  заборгованості  з  відрахувань на загальнообов'язкове державне соціальне страхування, страхування майна    підприємства    та   індивідуального   страхування   його працівників. </w:t>
            </w:r>
          </w:p>
        </w:tc>
        <w:tc>
          <w:tcPr>
            <w:tcW w:w="7294" w:type="dxa"/>
          </w:tcPr>
          <w:p w:rsidR="00863E85" w:rsidRPr="00863E85" w:rsidRDefault="00863E85" w:rsidP="008035B3">
            <w:pPr>
              <w:jc w:val="both"/>
            </w:pPr>
            <w:r>
              <w:rPr>
                <w:b/>
              </w:rPr>
              <w:t>1.13</w:t>
            </w:r>
            <w:r w:rsidRPr="00863E85">
              <w:rPr>
                <w:b/>
              </w:rPr>
              <w:t>.</w:t>
            </w:r>
            <w:r w:rsidRPr="00863E85">
              <w:t xml:space="preserve"> У  статті  "</w:t>
            </w:r>
            <w:r w:rsidRPr="00863E85">
              <w:rPr>
                <w:b/>
              </w:rPr>
              <w:t>Поточна кредиторська заборгованість</w:t>
            </w:r>
            <w:r w:rsidRPr="00863E85">
              <w:t xml:space="preserve"> за  розрахунками  зі страхування"  відображається  сума  заборгованості  з  відрахувань на загальнообов'язкове державне соціальне страхування, страхування майна    підприємства    та   індивідуального   страхування   його працівників. </w:t>
            </w:r>
          </w:p>
        </w:tc>
      </w:tr>
      <w:tr w:rsidR="00863E85" w:rsidRPr="00DC599E" w:rsidTr="009A40AE">
        <w:trPr>
          <w:jc w:val="center"/>
        </w:trPr>
        <w:tc>
          <w:tcPr>
            <w:tcW w:w="7492" w:type="dxa"/>
          </w:tcPr>
          <w:p w:rsidR="00863E85" w:rsidRDefault="00863E85" w:rsidP="008035B3">
            <w:pPr>
              <w:jc w:val="both"/>
            </w:pPr>
            <w:r w:rsidRPr="00863E85">
              <w:rPr>
                <w:b/>
              </w:rPr>
              <w:t>1.15.</w:t>
            </w:r>
            <w:r>
              <w:t xml:space="preserve"> У статті "</w:t>
            </w:r>
            <w:r w:rsidRPr="00863E85">
              <w:rPr>
                <w:b/>
              </w:rPr>
              <w:t>Поточні зобов'язання</w:t>
            </w:r>
            <w:r>
              <w:t xml:space="preserve"> за розрахунками з оплати праці" відображається заборгованість за  нарахованою,  але  ще  не сплаченою  сумою  оплати праці,  а також за депонованою заробітною платою.  Заборгованість   працівників   перед   підприємством   за операціями з оплати праці наводиться у статті "Поточна дебіторська заборгованість".</w:t>
            </w:r>
          </w:p>
          <w:p w:rsidR="00863E85" w:rsidRPr="00863E85" w:rsidRDefault="00863E85" w:rsidP="008035B3">
            <w:pPr>
              <w:jc w:val="both"/>
              <w:rPr>
                <w:strike/>
                <w:lang w:val="ru-RU"/>
              </w:rPr>
            </w:pPr>
            <w:bookmarkStart w:id="16" w:name="o119"/>
            <w:bookmarkEnd w:id="16"/>
            <w:r>
              <w:t xml:space="preserve">     </w:t>
            </w:r>
            <w:r w:rsidRPr="00863E85">
              <w:rPr>
                <w:strike/>
              </w:rPr>
              <w:t xml:space="preserve">У рядку 665 наводиться сума заборгованості на кінець звітного періоду з виплат працівникам,  що не  погашена  (не  виплачена)  у встановлений колективним договором строк. </w:t>
            </w:r>
          </w:p>
        </w:tc>
        <w:tc>
          <w:tcPr>
            <w:tcW w:w="7294" w:type="dxa"/>
          </w:tcPr>
          <w:p w:rsidR="00863E85" w:rsidRDefault="00863E85" w:rsidP="008035B3">
            <w:pPr>
              <w:jc w:val="both"/>
            </w:pPr>
            <w:r w:rsidRPr="00863E85">
              <w:rPr>
                <w:b/>
              </w:rPr>
              <w:t>1</w:t>
            </w:r>
            <w:r>
              <w:rPr>
                <w:b/>
              </w:rPr>
              <w:t>.14</w:t>
            </w:r>
            <w:r w:rsidRPr="00863E85">
              <w:rPr>
                <w:b/>
              </w:rPr>
              <w:t>.</w:t>
            </w:r>
            <w:r>
              <w:t xml:space="preserve"> У статті "</w:t>
            </w:r>
            <w:r w:rsidRPr="00863E85">
              <w:rPr>
                <w:b/>
              </w:rPr>
              <w:t>Поточна кредиторська заборгованість</w:t>
            </w:r>
            <w:r>
              <w:t xml:space="preserve"> за розрахунками з оплати праці" відображається заборгованість за  нарахованою,  але  ще  не сплаченою  сумою  оплати праці,  а також за депонованою заробітною платою.  Заборгованість   працівників   перед   підприємством   за операціями з оплати праці наводиться у статті "Поточна дебіторська заборгованість".</w:t>
            </w:r>
          </w:p>
          <w:p w:rsidR="00863E85" w:rsidRPr="003A3863" w:rsidRDefault="00863E85" w:rsidP="008035B3">
            <w:pPr>
              <w:jc w:val="both"/>
              <w:rPr>
                <w:strike/>
              </w:rPr>
            </w:pPr>
          </w:p>
        </w:tc>
      </w:tr>
      <w:tr w:rsidR="00863E85" w:rsidRPr="00DC599E" w:rsidTr="009A40AE">
        <w:trPr>
          <w:jc w:val="center"/>
        </w:trPr>
        <w:tc>
          <w:tcPr>
            <w:tcW w:w="7492" w:type="dxa"/>
          </w:tcPr>
          <w:p w:rsidR="00863E85" w:rsidRPr="00A628DA" w:rsidRDefault="000D4E8A" w:rsidP="008035B3">
            <w:pPr>
              <w:jc w:val="both"/>
            </w:pPr>
            <w:r w:rsidRPr="000D4E8A">
              <w:t xml:space="preserve">2.1. У  статті  "Дохід  (виручка)  від  реалізації  продукції (товарів, робіт, послуг)" відображається загальний дохід (виручка) від реалізації продукції, товарів, робіт і послуг. </w:t>
            </w:r>
          </w:p>
        </w:tc>
        <w:tc>
          <w:tcPr>
            <w:tcW w:w="7294" w:type="dxa"/>
          </w:tcPr>
          <w:p w:rsidR="00863E85" w:rsidRPr="008F354D" w:rsidRDefault="008F354D" w:rsidP="008035B3">
            <w:pPr>
              <w:jc w:val="both"/>
              <w:rPr>
                <w:b/>
              </w:rPr>
            </w:pPr>
            <w:bookmarkStart w:id="17" w:name="o109"/>
            <w:bookmarkStart w:id="18" w:name="o111"/>
            <w:bookmarkStart w:id="19" w:name="o113"/>
            <w:bookmarkStart w:id="20" w:name="o115"/>
            <w:bookmarkEnd w:id="17"/>
            <w:bookmarkEnd w:id="18"/>
            <w:bookmarkEnd w:id="19"/>
            <w:bookmarkEnd w:id="20"/>
            <w:r w:rsidRPr="008F354D">
              <w:rPr>
                <w:b/>
              </w:rPr>
              <w:t>2.1. Виключено</w:t>
            </w:r>
          </w:p>
        </w:tc>
      </w:tr>
      <w:tr w:rsidR="00863E85" w:rsidRPr="00DC599E" w:rsidTr="009A40AE">
        <w:trPr>
          <w:jc w:val="center"/>
        </w:trPr>
        <w:tc>
          <w:tcPr>
            <w:tcW w:w="7492" w:type="dxa"/>
          </w:tcPr>
          <w:p w:rsidR="00863E85" w:rsidRPr="003A3863" w:rsidRDefault="000D4E8A" w:rsidP="008035B3">
            <w:pPr>
              <w:jc w:val="both"/>
              <w:rPr>
                <w:strike/>
              </w:rPr>
            </w:pPr>
            <w:r w:rsidRPr="000D4E8A">
              <w:t xml:space="preserve">2.2. У статті "Непрямі податки та інші вирахування з  доходу" </w:t>
            </w:r>
            <w:r w:rsidRPr="000D4E8A">
              <w:br/>
              <w:t>відображається  сума акцизного податку й інших обов'язкових зборів та надані знижки,  вартість повернутих товарів, інші вирахування з доходу.</w:t>
            </w:r>
          </w:p>
        </w:tc>
        <w:tc>
          <w:tcPr>
            <w:tcW w:w="7294" w:type="dxa"/>
          </w:tcPr>
          <w:p w:rsidR="00863E85" w:rsidRPr="008F354D" w:rsidRDefault="008F354D" w:rsidP="008035B3">
            <w:pPr>
              <w:jc w:val="both"/>
              <w:rPr>
                <w:b/>
              </w:rPr>
            </w:pPr>
            <w:r w:rsidRPr="008F354D">
              <w:rPr>
                <w:b/>
              </w:rPr>
              <w:t>2.2. Виключено</w:t>
            </w:r>
          </w:p>
        </w:tc>
      </w:tr>
      <w:tr w:rsidR="00863E85" w:rsidRPr="00DC599E" w:rsidTr="009A40AE">
        <w:trPr>
          <w:jc w:val="center"/>
        </w:trPr>
        <w:tc>
          <w:tcPr>
            <w:tcW w:w="7492" w:type="dxa"/>
          </w:tcPr>
          <w:p w:rsidR="00863E85" w:rsidRPr="008F354D" w:rsidRDefault="008F354D" w:rsidP="008035B3">
            <w:pPr>
              <w:jc w:val="both"/>
            </w:pPr>
            <w:r w:rsidRPr="008F354D">
              <w:rPr>
                <w:b/>
              </w:rPr>
              <w:t>2.3.</w:t>
            </w:r>
            <w:r w:rsidRPr="008F354D">
              <w:t xml:space="preserve"> Чистий   дохід   (виручка)   від   реалізації  продукції (товарів,  робіт, послуг) визначається шляхом вирахування з доходу (виручки)   від  реалізації  продукції  (товарів,  робіт,  послуг) непрямих податків та інших вирахувань з доходу. </w:t>
            </w:r>
          </w:p>
        </w:tc>
        <w:tc>
          <w:tcPr>
            <w:tcW w:w="7294" w:type="dxa"/>
          </w:tcPr>
          <w:p w:rsidR="00863E85" w:rsidRPr="00781828" w:rsidRDefault="008F354D" w:rsidP="008035B3">
            <w:pPr>
              <w:jc w:val="both"/>
              <w:rPr>
                <w:b/>
              </w:rPr>
            </w:pPr>
            <w:r w:rsidRPr="008F354D">
              <w:rPr>
                <w:b/>
              </w:rPr>
              <w:t>2.1.</w:t>
            </w:r>
            <w:r>
              <w:t xml:space="preserve"> У   статті   "Чистий  дохід  від  реалізації  продукції (товарів,  робіт,  послуг)" відображається  дохід  від  реалізації продукції,  товарів, робіт і послуг без непрямих податків і зборів та інших вирахувань з доходу.</w:t>
            </w:r>
          </w:p>
        </w:tc>
      </w:tr>
      <w:tr w:rsidR="008F354D" w:rsidRPr="00DC599E" w:rsidTr="009A40AE">
        <w:trPr>
          <w:jc w:val="center"/>
        </w:trPr>
        <w:tc>
          <w:tcPr>
            <w:tcW w:w="7492" w:type="dxa"/>
          </w:tcPr>
          <w:p w:rsidR="008F354D" w:rsidRPr="008F354D" w:rsidRDefault="008F354D" w:rsidP="008035B3">
            <w:pPr>
              <w:jc w:val="both"/>
              <w:rPr>
                <w:lang w:val="ru-RU"/>
              </w:rPr>
            </w:pPr>
            <w:r w:rsidRPr="008F354D">
              <w:rPr>
                <w:b/>
              </w:rPr>
              <w:t>2.6.</w:t>
            </w:r>
            <w:r w:rsidRPr="008F354D">
              <w:t xml:space="preserve">   У   статті  "Інші  витрати"  наводяться  інші  витрати операційної діяльності та інші витрати діяльності: адміністративні витрати,  витрати  на  збут,  собівартість  реалізованих оборотних активів   (крім   готової   продукції,   товарів);  сума  списаних </w:t>
            </w:r>
            <w:r w:rsidRPr="008F354D">
              <w:br/>
              <w:t xml:space="preserve">безнадійних  боргів;  втрати  від  знецінення  </w:t>
            </w:r>
            <w:r>
              <w:t>в</w:t>
            </w:r>
            <w:r w:rsidRPr="008F354D">
              <w:t xml:space="preserve">иробничих запасів; втрати   від  операційних  курсових  різниць;  визнані  економічні санкції;  інші  витрати,  що  пов'язані  з  операційною діяльністю підприємства,   витрати   на  сплату  процентів  та  інші  витрати </w:t>
            </w:r>
            <w:r w:rsidRPr="008F354D">
              <w:br/>
              <w:t xml:space="preserve">підприємства,  пов'язані  із  запозиченнями;  втрати  від участі в капіталі;    собівартість    реалізації   фінансових   інвестицій, необоротних  активів;  втрати  від неопераційних курсових різниць; інші  витрати  підприємства.  </w:t>
            </w:r>
            <w:r>
              <w:t xml:space="preserve">У  цій  статті  також відображається </w:t>
            </w:r>
            <w:r>
              <w:br/>
              <w:t xml:space="preserve">належна  до  сплати  за звітний період відповідно до законодавства сума  податків  і  зборів.  </w:t>
            </w:r>
            <w:r w:rsidRPr="008F354D">
              <w:rPr>
                <w:b/>
                <w:strike/>
              </w:rPr>
              <w:t>Конкретна  назва  податку  або збору і відповідна сума наводяться у рядку 101.</w:t>
            </w:r>
            <w:bookmarkStart w:id="21" w:name="o137"/>
            <w:bookmarkEnd w:id="21"/>
          </w:p>
        </w:tc>
        <w:tc>
          <w:tcPr>
            <w:tcW w:w="7294" w:type="dxa"/>
          </w:tcPr>
          <w:p w:rsidR="008F354D" w:rsidRPr="008F354D" w:rsidRDefault="008F354D" w:rsidP="008035B3">
            <w:pPr>
              <w:jc w:val="both"/>
              <w:rPr>
                <w:b/>
              </w:rPr>
            </w:pPr>
            <w:r>
              <w:rPr>
                <w:b/>
              </w:rPr>
              <w:t xml:space="preserve">2.4. </w:t>
            </w:r>
            <w:r w:rsidRPr="008F354D">
              <w:t xml:space="preserve">У   статті  "Інші  витрати"  наводяться  інші  витрати операційної діяльності та інші витрати діяльності: адміністративні витрати,  витрати  на  збут,  собівартість  реалізованих оборотних активів   (крім   готової   продукції,   товарів);  сума  списаних безнадійних  боргів;  втрати  від  знецінення  </w:t>
            </w:r>
            <w:r>
              <w:t>в</w:t>
            </w:r>
            <w:r w:rsidRPr="008F354D">
              <w:t xml:space="preserve">иробничих запасів; втрати   від  операційних  курсових  різниць;  визнані  економічні санкції;  інші  витрати,  що  пов'язані  з  операційною діяльністю підприємства,   витрати   на  сплату  процентів  та  інші  витрати підприємства,  пов'язані  із  запозиченнями;  втрати  від участі в капіталі;    собівартість    реалізації   фінансових   інвестицій, необоротних  активів;  втрати  від неопераційних курсових різниць; інші  витрати  підприємства.  </w:t>
            </w:r>
            <w:r>
              <w:t>У  цій  статті  також відображається належна  до  сплати  за звітний період відповідно до законодавства сума  податків  і  зборів.</w:t>
            </w:r>
          </w:p>
        </w:tc>
      </w:tr>
      <w:tr w:rsidR="008F354D" w:rsidRPr="00DC599E" w:rsidTr="00F37CDF">
        <w:trPr>
          <w:jc w:val="center"/>
        </w:trPr>
        <w:tc>
          <w:tcPr>
            <w:tcW w:w="0" w:type="auto"/>
            <w:gridSpan w:val="2"/>
          </w:tcPr>
          <w:p w:rsidR="008F354D" w:rsidRPr="008035B3" w:rsidRDefault="008F354D" w:rsidP="008035B3">
            <w:pPr>
              <w:rPr>
                <w:i/>
              </w:rPr>
            </w:pPr>
            <w:bookmarkStart w:id="22" w:name="o121"/>
            <w:bookmarkEnd w:id="22"/>
            <w:r w:rsidRPr="008035B3">
              <w:rPr>
                <w:i/>
              </w:rPr>
              <w:t>Додатки 1 і 2  до  Положення  (стандарту)  бухгалтерського обліку 25   "Фінансовий   звіт   суб'єкта  малого  підприємни</w:t>
            </w:r>
            <w:r w:rsidR="008035B3" w:rsidRPr="008035B3">
              <w:rPr>
                <w:i/>
              </w:rPr>
              <w:t>цтва" викласти в новій редакції</w:t>
            </w:r>
            <w:r w:rsidRPr="008035B3">
              <w:rPr>
                <w:i/>
              </w:rPr>
              <w:t xml:space="preserve">. </w:t>
            </w:r>
          </w:p>
        </w:tc>
      </w:tr>
      <w:tr w:rsidR="008F354D" w:rsidRPr="00DC599E" w:rsidTr="00CB7384">
        <w:trPr>
          <w:jc w:val="center"/>
        </w:trPr>
        <w:tc>
          <w:tcPr>
            <w:tcW w:w="0" w:type="auto"/>
            <w:gridSpan w:val="2"/>
          </w:tcPr>
          <w:p w:rsidR="008F354D" w:rsidRPr="008F354D" w:rsidRDefault="008F354D" w:rsidP="008F354D">
            <w:pPr>
              <w:jc w:val="center"/>
              <w:rPr>
                <w:b/>
              </w:rPr>
            </w:pPr>
            <w:r w:rsidRPr="008F354D">
              <w:rPr>
                <w:b/>
              </w:rPr>
              <w:t xml:space="preserve">Положення   (стандарту) бухгалтерського  обліку 7 "Основні засоби",  </w:t>
            </w:r>
            <w:r w:rsidR="00A628DA">
              <w:rPr>
                <w:b/>
              </w:rPr>
              <w:t>затверджено</w:t>
            </w:r>
            <w:r w:rsidRPr="008F354D">
              <w:rPr>
                <w:b/>
              </w:rPr>
              <w:t xml:space="preserve"> наказом Міністерства фінансів  України  від  27  квітня  2000  року  N  92</w:t>
            </w:r>
            <w:r w:rsidR="00A628DA">
              <w:rPr>
                <w:b/>
              </w:rPr>
              <w:t>,  зареєстровано</w:t>
            </w:r>
            <w:r w:rsidRPr="008F354D">
              <w:rPr>
                <w:b/>
              </w:rPr>
              <w:t xml:space="preserve">  в  Міністерстві  юстиції  України 18 травня 2000 року за N 288/4509 (із змінами)</w:t>
            </w:r>
          </w:p>
        </w:tc>
      </w:tr>
      <w:tr w:rsidR="00863E85" w:rsidRPr="00DC599E" w:rsidTr="009A40AE">
        <w:trPr>
          <w:jc w:val="center"/>
        </w:trPr>
        <w:tc>
          <w:tcPr>
            <w:tcW w:w="7492" w:type="dxa"/>
          </w:tcPr>
          <w:p w:rsidR="00863E85" w:rsidRPr="008F354D" w:rsidRDefault="008F354D" w:rsidP="008035B3">
            <w:pPr>
              <w:jc w:val="both"/>
            </w:pPr>
            <w:r w:rsidRPr="008F354D">
              <w:t>4. …</w:t>
            </w:r>
          </w:p>
          <w:p w:rsidR="008F354D" w:rsidRPr="00A628DA" w:rsidRDefault="008F354D" w:rsidP="008035B3">
            <w:pPr>
              <w:jc w:val="both"/>
              <w:rPr>
                <w:strike/>
                <w:color w:val="000000"/>
              </w:rPr>
            </w:pPr>
            <w:r w:rsidRPr="00A628DA">
              <w:rPr>
                <w:strike/>
                <w:color w:val="000000"/>
              </w:rPr>
              <w:t>Об'єкт  основних  засобів  -  це: закінчений пристрій з усіма пристосуваннями і приладдям до нього;  конструктивно відокремлений предмет,  призначений  для  виконання  певних самостійних функцій; відокремлений   комплекс   конструктивно    з'єднаних    предметів однакового або різного призначення, що мають для їх обслуговування загальні пристосування,  приладдя,  керування та єдиний фундамент, унаслідок  чого  кожен  предмет  може  виконувати свої функції,  а комплекс  -  певну  роботу  тільки  в  складі  комплексу,   а   не самостійно;   інший   актив,  що  відповідає  визначенню  основних засобів,   або   частина   такого   активу,    що    контролюється підприємством/установою</w:t>
            </w:r>
            <w:r w:rsidR="00A628DA" w:rsidRPr="00A628DA">
              <w:rPr>
                <w:strike/>
                <w:color w:val="000000"/>
              </w:rPr>
              <w:t>.</w:t>
            </w:r>
          </w:p>
        </w:tc>
        <w:tc>
          <w:tcPr>
            <w:tcW w:w="7294" w:type="dxa"/>
          </w:tcPr>
          <w:p w:rsidR="00863E85" w:rsidRPr="00A628DA" w:rsidRDefault="008F354D" w:rsidP="008035B3">
            <w:pPr>
              <w:jc w:val="both"/>
              <w:rPr>
                <w:color w:val="000000"/>
              </w:rPr>
            </w:pPr>
            <w:r w:rsidRPr="00A628DA">
              <w:rPr>
                <w:color w:val="000000"/>
              </w:rPr>
              <w:t>4. …</w:t>
            </w:r>
          </w:p>
          <w:p w:rsidR="008F354D" w:rsidRPr="008F354D" w:rsidRDefault="008F354D" w:rsidP="008035B3">
            <w:pPr>
              <w:jc w:val="both"/>
              <w:rPr>
                <w:color w:val="000000"/>
              </w:rPr>
            </w:pPr>
            <w:r w:rsidRPr="008F354D">
              <w:rPr>
                <w:color w:val="000000"/>
              </w:rPr>
              <w:t>Справедлива вартість - сума, за якою можна продати актив або оплатити зобов'язання за звичайних умов на певну дату.</w:t>
            </w:r>
          </w:p>
          <w:p w:rsidR="008F354D" w:rsidRPr="008F354D" w:rsidRDefault="008F354D" w:rsidP="008035B3">
            <w:pPr>
              <w:jc w:val="both"/>
              <w:rPr>
                <w:b/>
                <w:color w:val="000000"/>
                <w:lang w:val="ru-RU"/>
              </w:rPr>
            </w:pPr>
          </w:p>
        </w:tc>
      </w:tr>
      <w:tr w:rsidR="00A628DA" w:rsidRPr="00DC599E" w:rsidTr="00EB1BE8">
        <w:trPr>
          <w:jc w:val="center"/>
        </w:trPr>
        <w:tc>
          <w:tcPr>
            <w:tcW w:w="0" w:type="auto"/>
            <w:gridSpan w:val="2"/>
          </w:tcPr>
          <w:p w:rsidR="00A628DA" w:rsidRPr="00F81A99" w:rsidRDefault="00A628DA" w:rsidP="00F81A99">
            <w:pPr>
              <w:jc w:val="center"/>
              <w:rPr>
                <w:b/>
                <w:color w:val="FF0000"/>
              </w:rPr>
            </w:pPr>
          </w:p>
        </w:tc>
      </w:tr>
      <w:tr w:rsidR="00B13FC1" w:rsidRPr="00DC599E" w:rsidTr="00C92AB6">
        <w:trPr>
          <w:jc w:val="center"/>
        </w:trPr>
        <w:tc>
          <w:tcPr>
            <w:tcW w:w="0" w:type="auto"/>
            <w:gridSpan w:val="2"/>
          </w:tcPr>
          <w:p w:rsidR="00B13FC1" w:rsidRPr="00B13FC1" w:rsidRDefault="00B13FC1" w:rsidP="00B13FC1">
            <w:pPr>
              <w:jc w:val="center"/>
              <w:rPr>
                <w:b/>
              </w:rPr>
            </w:pPr>
            <w:r w:rsidRPr="00B13FC1">
              <w:rPr>
                <w:b/>
              </w:rPr>
              <w:t>Положення    (стандарт)    бухгалтерського    обліку 31 "Фінан</w:t>
            </w:r>
            <w:r>
              <w:rPr>
                <w:b/>
              </w:rPr>
              <w:t>сові   витрати",   затверджено</w:t>
            </w:r>
            <w:r w:rsidRPr="00B13FC1">
              <w:rPr>
                <w:b/>
              </w:rPr>
              <w:t xml:space="preserve">   наказом   Міністерства фінансів  України  від  28  квітня  2006  року N 415, </w:t>
            </w:r>
            <w:r>
              <w:rPr>
                <w:b/>
              </w:rPr>
              <w:t>зареєстровано</w:t>
            </w:r>
            <w:r w:rsidRPr="00B13FC1">
              <w:rPr>
                <w:b/>
              </w:rPr>
              <w:t xml:space="preserve"> в Міністерстві юстиції України 26 травня 2006 року за N 610/12484 (із змінами)</w:t>
            </w:r>
          </w:p>
        </w:tc>
      </w:tr>
      <w:tr w:rsidR="00B13FC1" w:rsidRPr="00DC599E" w:rsidTr="009A40AE">
        <w:trPr>
          <w:jc w:val="center"/>
        </w:trPr>
        <w:tc>
          <w:tcPr>
            <w:tcW w:w="7492" w:type="dxa"/>
          </w:tcPr>
          <w:p w:rsidR="00B13FC1" w:rsidRPr="00B13FC1" w:rsidRDefault="00B13FC1" w:rsidP="009A40AE">
            <w:pPr>
              <w:jc w:val="both"/>
            </w:pPr>
            <w:r w:rsidRPr="00B13FC1">
              <w:t xml:space="preserve">7. </w:t>
            </w:r>
            <w:r w:rsidRPr="00B13FC1">
              <w:rPr>
                <w:strike/>
              </w:rPr>
              <w:t>Якщо  запозичення безпосередньо не пов'язані зі створенням кваліфікаційного активу,  то сума фінансових витрат,  що  підлягає включенню  до  собівартості  кваліфікаційного  активу,  є добутком норми  капіталізації  та  середньозважених  витрат  на   створення кваліфікаційного  активу (з урахуванням витрат на створення такого кваліфікаційного активу на  початок  звітного  періоду,  включаючи раніше капіталізовані фінансові витрати).</w:t>
            </w:r>
            <w:r w:rsidRPr="00B13FC1">
              <w:t xml:space="preserve"> </w:t>
            </w:r>
          </w:p>
          <w:p w:rsidR="00B13FC1" w:rsidRPr="00A628DA" w:rsidRDefault="00B13FC1" w:rsidP="009A40AE">
            <w:pPr>
              <w:jc w:val="both"/>
              <w:rPr>
                <w:b/>
              </w:rPr>
            </w:pPr>
          </w:p>
        </w:tc>
        <w:tc>
          <w:tcPr>
            <w:tcW w:w="7294" w:type="dxa"/>
          </w:tcPr>
          <w:p w:rsidR="00B13FC1" w:rsidRPr="00A628DA" w:rsidRDefault="00B13FC1" w:rsidP="009A40AE">
            <w:pPr>
              <w:jc w:val="both"/>
              <w:rPr>
                <w:b/>
              </w:rPr>
            </w:pPr>
            <w:r>
              <w:t xml:space="preserve">7. Якщо запозичення безпосередньо не пов'язані зі створенням </w:t>
            </w:r>
            <w:r>
              <w:br/>
              <w:t xml:space="preserve">кваліфікаційного активу,  то сума фінансових витрат,  що  підлягає </w:t>
            </w:r>
            <w:r>
              <w:br/>
              <w:t xml:space="preserve">включенню  до  собівартості  кваліфікаційного  активу,  є добутком </w:t>
            </w:r>
            <w:r>
              <w:br/>
              <w:t xml:space="preserve">норми  капіталізації  та  середньозважених  витрат  на   створення </w:t>
            </w:r>
            <w:r>
              <w:br/>
              <w:t>кваліфікаційного активу (включаючи раніше капіталізовані фінансові витрати).   З   метою   визначення    фінансових    витрат,    які капіталізуються, до розрахунку приймаються середньозважені витрати на створення кваліфікаційного активу протягом тих періодів, у яких підприємством понесені фінансові витрати,  що відповідають вимогам пункту 5 цього Положення (стандарту).</w:t>
            </w:r>
          </w:p>
        </w:tc>
      </w:tr>
      <w:tr w:rsidR="00B13FC1" w:rsidRPr="00DC599E" w:rsidTr="009A40AE">
        <w:trPr>
          <w:jc w:val="center"/>
        </w:trPr>
        <w:tc>
          <w:tcPr>
            <w:tcW w:w="7492" w:type="dxa"/>
          </w:tcPr>
          <w:p w:rsidR="00B13FC1" w:rsidRPr="00B13FC1" w:rsidRDefault="00B13FC1" w:rsidP="009A40AE">
            <w:pPr>
              <w:jc w:val="both"/>
            </w:pPr>
            <w:r w:rsidRPr="00B13FC1">
              <w:t xml:space="preserve">8.2. </w:t>
            </w:r>
            <w:r w:rsidRPr="00B13FC1">
              <w:rPr>
                <w:strike/>
              </w:rPr>
              <w:t xml:space="preserve">Визначається  добуток  норми  капіталізації   фінансових витрат  (яка  визначається за вирахуванням непогашених запозичень, безпосередньо пов'язаних зі створенням кваліфікаційного активу) та середньозважених  витрат,  безпосередньо  пов'язаних зі створенням </w:t>
            </w:r>
            <w:r w:rsidRPr="00B13FC1">
              <w:rPr>
                <w:strike/>
              </w:rPr>
              <w:br/>
              <w:t>кваліфікаційного активу (за вирахуванням  непогашених  запозичень, безпосередньо пов'язаних зі створенням кваліфікаційного активу).</w:t>
            </w:r>
            <w:r w:rsidRPr="00B13FC1">
              <w:t xml:space="preserve"> </w:t>
            </w:r>
          </w:p>
          <w:p w:rsidR="00B13FC1" w:rsidRPr="00A628DA" w:rsidRDefault="00B13FC1" w:rsidP="009A40AE">
            <w:pPr>
              <w:jc w:val="both"/>
              <w:rPr>
                <w:b/>
              </w:rPr>
            </w:pPr>
          </w:p>
        </w:tc>
        <w:tc>
          <w:tcPr>
            <w:tcW w:w="7294" w:type="dxa"/>
          </w:tcPr>
          <w:p w:rsidR="00B13FC1" w:rsidRPr="00A628DA" w:rsidRDefault="00B13FC1" w:rsidP="009A40AE">
            <w:pPr>
              <w:jc w:val="both"/>
              <w:rPr>
                <w:b/>
              </w:rPr>
            </w:pPr>
            <w:r>
              <w:t xml:space="preserve">8.2. Визначається  добуток  норми  капіталізації  фінансових </w:t>
            </w:r>
            <w:r>
              <w:br/>
              <w:t xml:space="preserve">витрат  та  середньозважених  витрат,  безпосередньо пов'язаних зі </w:t>
            </w:r>
            <w:r>
              <w:br/>
              <w:t>створенням кваліфікаційного активу  (за  вирахуванням  запозичень, безпосередньо пов'язаних зі створенням кваліфікаційного активу).</w:t>
            </w:r>
          </w:p>
        </w:tc>
      </w:tr>
      <w:tr w:rsidR="00B13FC1" w:rsidRPr="00DC599E" w:rsidTr="009A40AE">
        <w:trPr>
          <w:jc w:val="center"/>
        </w:trPr>
        <w:tc>
          <w:tcPr>
            <w:tcW w:w="7492" w:type="dxa"/>
          </w:tcPr>
          <w:p w:rsidR="00B13FC1" w:rsidRPr="000B432D" w:rsidRDefault="000B432D" w:rsidP="009A40AE">
            <w:pPr>
              <w:jc w:val="both"/>
              <w:rPr>
                <w:b/>
              </w:rPr>
            </w:pPr>
            <w:r w:rsidRPr="000B432D">
              <w:rPr>
                <w:b/>
              </w:rPr>
              <w:t>Доповнено пунктом 15.</w:t>
            </w:r>
          </w:p>
        </w:tc>
        <w:tc>
          <w:tcPr>
            <w:tcW w:w="7294" w:type="dxa"/>
          </w:tcPr>
          <w:p w:rsidR="00B13FC1" w:rsidRPr="000B432D" w:rsidRDefault="00B13FC1" w:rsidP="009A40AE">
            <w:pPr>
              <w:jc w:val="both"/>
              <w:rPr>
                <w:color w:val="000000"/>
              </w:rPr>
            </w:pPr>
            <w:r w:rsidRPr="00B13FC1">
              <w:rPr>
                <w:color w:val="000000"/>
              </w:rPr>
              <w:t>15. Якщо собівартість кваліфікаційного активу перевищує суму очікуваного  відшкодування  такого  активу  в частині незавершених капітальних інвестицій або чистої вартості  реалізації  в  частині запасів,  то  вона  може  бути  зменшена  у  порядку,  визначеному національними положеннями (стандартами) бухгалтерського обліку.</w:t>
            </w:r>
          </w:p>
        </w:tc>
      </w:tr>
      <w:tr w:rsidR="000B432D" w:rsidRPr="00DC599E" w:rsidTr="00182963">
        <w:trPr>
          <w:jc w:val="center"/>
        </w:trPr>
        <w:tc>
          <w:tcPr>
            <w:tcW w:w="0" w:type="auto"/>
            <w:gridSpan w:val="2"/>
          </w:tcPr>
          <w:p w:rsidR="000B432D" w:rsidRPr="000B432D" w:rsidRDefault="000B432D" w:rsidP="000B432D">
            <w:pPr>
              <w:rPr>
                <w:b/>
              </w:rPr>
            </w:pPr>
            <w:r w:rsidRPr="000B432D">
              <w:rPr>
                <w:b/>
              </w:rPr>
              <w:t>Пункт 15 вважати пунктом 16.</w:t>
            </w:r>
          </w:p>
        </w:tc>
      </w:tr>
      <w:tr w:rsidR="000B432D" w:rsidRPr="00DC599E" w:rsidTr="006020CB">
        <w:trPr>
          <w:jc w:val="center"/>
        </w:trPr>
        <w:tc>
          <w:tcPr>
            <w:tcW w:w="0" w:type="auto"/>
            <w:gridSpan w:val="2"/>
          </w:tcPr>
          <w:p w:rsidR="000B432D" w:rsidRPr="00A628DA" w:rsidRDefault="000B432D" w:rsidP="000B432D">
            <w:pPr>
              <w:jc w:val="center"/>
              <w:rPr>
                <w:b/>
              </w:rPr>
            </w:pPr>
            <w:r w:rsidRPr="000B432D">
              <w:rPr>
                <w:b/>
              </w:rPr>
              <w:t>Положення  про порядок бухгалтерського обліку окремих  активів  та  операцій  підприємств державного,   комунального   секторів  економіки  і  господарських організацій,   які   володіють   та/або   користуються   об'єктами державної,    комунально</w:t>
            </w:r>
            <w:r>
              <w:rPr>
                <w:b/>
              </w:rPr>
              <w:t>ї    власності,    затверджено</w:t>
            </w:r>
            <w:r w:rsidRPr="000B432D">
              <w:rPr>
                <w:b/>
              </w:rPr>
              <w:t xml:space="preserve">   наказом Міністерства фінансів України від  19  грудня  2006  року  N  1213</w:t>
            </w:r>
            <w:r>
              <w:rPr>
                <w:b/>
              </w:rPr>
              <w:t>,  зареєстровано</w:t>
            </w:r>
            <w:r w:rsidRPr="000B432D">
              <w:rPr>
                <w:b/>
              </w:rPr>
              <w:t xml:space="preserve">  в  Міністерстві  юстиції  України 26 грудня 2006 року за N 1363/13237 (із змінами)</w:t>
            </w:r>
          </w:p>
        </w:tc>
      </w:tr>
      <w:tr w:rsidR="000B432D" w:rsidRPr="00DC599E" w:rsidTr="00545ED2">
        <w:trPr>
          <w:jc w:val="center"/>
        </w:trPr>
        <w:tc>
          <w:tcPr>
            <w:tcW w:w="0" w:type="auto"/>
            <w:gridSpan w:val="2"/>
          </w:tcPr>
          <w:p w:rsidR="000B432D" w:rsidRPr="000B432D" w:rsidRDefault="000B432D" w:rsidP="000B432D">
            <w:pPr>
              <w:jc w:val="center"/>
              <w:rPr>
                <w:b/>
              </w:rPr>
            </w:pPr>
            <w:r w:rsidRPr="000B432D">
              <w:rPr>
                <w:b/>
              </w:rPr>
              <w:t>III. Облік активів</w:t>
            </w:r>
          </w:p>
        </w:tc>
      </w:tr>
      <w:tr w:rsidR="00B13FC1" w:rsidRPr="00DC599E" w:rsidTr="009A40AE">
        <w:trPr>
          <w:jc w:val="center"/>
        </w:trPr>
        <w:tc>
          <w:tcPr>
            <w:tcW w:w="7492" w:type="dxa"/>
          </w:tcPr>
          <w:p w:rsidR="00B13FC1" w:rsidRDefault="000B432D" w:rsidP="008035B3">
            <w:pPr>
              <w:jc w:val="both"/>
              <w:rPr>
                <w:b/>
              </w:rPr>
            </w:pPr>
            <w:r w:rsidRPr="000B432D">
              <w:rPr>
                <w:b/>
              </w:rPr>
              <w:t>3.</w:t>
            </w:r>
            <w:r>
              <w:rPr>
                <w:b/>
              </w:rPr>
              <w:t xml:space="preserve"> …</w:t>
            </w:r>
          </w:p>
          <w:p w:rsidR="000B432D" w:rsidRPr="000B432D" w:rsidRDefault="000B432D" w:rsidP="008035B3">
            <w:pPr>
              <w:jc w:val="both"/>
              <w:rPr>
                <w:b/>
              </w:rPr>
            </w:pPr>
          </w:p>
        </w:tc>
        <w:tc>
          <w:tcPr>
            <w:tcW w:w="7294" w:type="dxa"/>
          </w:tcPr>
          <w:p w:rsidR="00B13FC1" w:rsidRPr="009A40AE" w:rsidRDefault="000B432D" w:rsidP="008035B3">
            <w:pPr>
              <w:jc w:val="both"/>
            </w:pPr>
            <w:bookmarkStart w:id="23" w:name="o147"/>
            <w:bookmarkEnd w:id="23"/>
            <w:r w:rsidRPr="000B432D">
              <w:rPr>
                <w:b/>
              </w:rPr>
              <w:t xml:space="preserve"> </w:t>
            </w:r>
            <w:r w:rsidRPr="009A40AE">
              <w:t>3. …</w:t>
            </w:r>
          </w:p>
          <w:p w:rsidR="000B432D" w:rsidRPr="008035B3" w:rsidRDefault="000B432D" w:rsidP="008035B3">
            <w:pPr>
              <w:jc w:val="both"/>
              <w:rPr>
                <w:b/>
              </w:rPr>
            </w:pPr>
            <w:r w:rsidRPr="008035B3">
              <w:rPr>
                <w:b/>
              </w:rPr>
              <w:t xml:space="preserve">Безоплатна передача (з балансу на баланс) державними </w:t>
            </w:r>
            <w:r w:rsidRPr="008035B3">
              <w:rPr>
                <w:b/>
              </w:rPr>
              <w:br/>
              <w:t>(казенними) та комунальними підприємствами активів, які раніше були отримані підприємством для формування статутного капіталу за рішенням органу, уповноваженого управляти державним майном, або органу місцевого самоврядування, але відповідні  зміни  не  були внесені до  статутних  документів, відображається за  кредитом рахунків обліку цих активів і дебетом:</w:t>
            </w:r>
          </w:p>
          <w:p w:rsidR="000B432D" w:rsidRPr="008035B3" w:rsidRDefault="000B432D" w:rsidP="008035B3">
            <w:pPr>
              <w:jc w:val="both"/>
              <w:rPr>
                <w:b/>
              </w:rPr>
            </w:pPr>
            <w:r w:rsidRPr="008035B3">
              <w:rPr>
                <w:b/>
              </w:rPr>
              <w:t xml:space="preserve">       рахунку 13  "Знос необоротних  активів"  - на суму зносу цих об'єктів, одночасно на цю суму кредитується рахунок 44 "Нерозподілені прибутки (непокриті збитки)" і дебетується субрахунок 425 "Інший додатковий капітал";</w:t>
            </w:r>
          </w:p>
          <w:p w:rsidR="000B432D" w:rsidRPr="000B432D" w:rsidRDefault="000B432D" w:rsidP="001A1BC3">
            <w:pPr>
              <w:jc w:val="both"/>
            </w:pPr>
            <w:r w:rsidRPr="008035B3">
              <w:rPr>
                <w:b/>
              </w:rPr>
              <w:t xml:space="preserve">       субрахунку 425  "Інший  додатковий  капітал" - на залишкову вартість отриманих об'єктів.</w:t>
            </w:r>
          </w:p>
        </w:tc>
      </w:tr>
      <w:tr w:rsidR="00295A7F" w:rsidRPr="00DC599E" w:rsidTr="00C3709A">
        <w:trPr>
          <w:jc w:val="center"/>
        </w:trPr>
        <w:tc>
          <w:tcPr>
            <w:tcW w:w="0" w:type="auto"/>
            <w:gridSpan w:val="2"/>
          </w:tcPr>
          <w:p w:rsidR="00295A7F" w:rsidRPr="009A40AE" w:rsidRDefault="00295A7F" w:rsidP="008035B3">
            <w:pPr>
              <w:jc w:val="both"/>
              <w:rPr>
                <w:i/>
              </w:rPr>
            </w:pPr>
            <w:r w:rsidRPr="009A40AE">
              <w:rPr>
                <w:i/>
              </w:rPr>
              <w:t>У Національному  положенні  (стандарті)  бухгалтерського обліку 1 "Загальні вимоги до фінансової звітності",  затверджено наказом Міністерства фінансів України від 7 лютого 2013 року N  73,  зареєстровано  в  Міністерстві  юстиції  України 28 лютого 2013 року за N 336/22868 (із змінами):</w:t>
            </w:r>
          </w:p>
          <w:p w:rsidR="001A1BC3" w:rsidRPr="009A40AE" w:rsidRDefault="001A1BC3" w:rsidP="001A1BC3">
            <w:pPr>
              <w:jc w:val="both"/>
              <w:rPr>
                <w:i/>
              </w:rPr>
            </w:pPr>
            <w:r w:rsidRPr="009A40AE">
              <w:rPr>
                <w:i/>
              </w:rPr>
              <w:t>1) у додатку 1 до Національного положення (стандарту) бухгалтерського обліку 1 "Загальні вимоги до фінансової звітності" у Звіті про власний капітал (форма N 4) у графі 3 слова "Зареєстрований капітал" замінити словами "Зареєстрований (пайовий) капітал";</w:t>
            </w:r>
          </w:p>
          <w:p w:rsidR="001A1BC3" w:rsidRPr="009A40AE" w:rsidRDefault="001A1BC3" w:rsidP="001A1BC3">
            <w:pPr>
              <w:jc w:val="both"/>
              <w:rPr>
                <w:i/>
              </w:rPr>
            </w:pPr>
            <w:r w:rsidRPr="009A40AE">
              <w:rPr>
                <w:i/>
              </w:rPr>
              <w:t>2) у додатку 2 до Національного положення (стандарту) бухгалтерського обліку 1 "Загальні вимоги до фінансової звітності" у Консолідованому звіті про власний капітал (форма N 4-к) у графі 3 слова "Зареєстрований капітал" замінити словами "Зареєстрований (пайовий) капітал";</w:t>
            </w:r>
          </w:p>
          <w:p w:rsidR="001A1BC3" w:rsidRPr="009A40AE" w:rsidRDefault="001A1BC3" w:rsidP="001A1BC3">
            <w:pPr>
              <w:jc w:val="both"/>
              <w:rPr>
                <w:i/>
              </w:rPr>
            </w:pPr>
            <w:r w:rsidRPr="009A40AE">
              <w:rPr>
                <w:i/>
              </w:rPr>
              <w:t>3) доповнити додаток 3 до Національного положення (стандарту) бухгалтерського обліку 1 "Загальні вимоги до фінансової звітності" після рядка 2122 новим рядком такого змісту:</w:t>
            </w:r>
          </w:p>
          <w:p w:rsidR="001A1BC3" w:rsidRPr="009A40AE" w:rsidRDefault="001A1BC3" w:rsidP="001A1BC3">
            <w:pPr>
              <w:jc w:val="both"/>
              <w:rPr>
                <w:i/>
              </w:rPr>
            </w:pPr>
            <w:r w:rsidRPr="009A40AE">
              <w:rPr>
                <w:i/>
              </w:rPr>
              <w:t>"Дохід від використання коштів, вивільнених від оподаткування</w:t>
            </w:r>
            <w:r w:rsidRPr="009A40AE">
              <w:rPr>
                <w:i/>
              </w:rPr>
              <w:t xml:space="preserve">»       </w:t>
            </w:r>
            <w:r w:rsidRPr="009A40AE">
              <w:rPr>
                <w:i/>
              </w:rPr>
              <w:t>2123</w:t>
            </w:r>
          </w:p>
        </w:tc>
      </w:tr>
      <w:tr w:rsidR="008035B3" w:rsidRPr="00DC599E" w:rsidTr="00C3709A">
        <w:trPr>
          <w:jc w:val="center"/>
        </w:trPr>
        <w:tc>
          <w:tcPr>
            <w:tcW w:w="0" w:type="auto"/>
            <w:gridSpan w:val="2"/>
          </w:tcPr>
          <w:p w:rsidR="009A40AE" w:rsidRPr="009A40AE" w:rsidRDefault="009A40AE" w:rsidP="009A40AE">
            <w:pPr>
              <w:jc w:val="both"/>
              <w:rPr>
                <w:i/>
              </w:rPr>
            </w:pPr>
            <w:r w:rsidRPr="009A40AE">
              <w:rPr>
                <w:i/>
              </w:rPr>
              <w:t>У Примітках до річної фінансової звітності (форма N 5), затверджених наказом Міністерства фінансів України від 29 листопада 2000 року N 302, зареєстрованим у Міністерстві юстиції України 11 грудня 2000 року за N 904/5125 (у редакції наказу Міністерства фінансів України від 28 жовтня 2003 року N 602):</w:t>
            </w:r>
          </w:p>
          <w:p w:rsidR="009A40AE" w:rsidRPr="009A40AE" w:rsidRDefault="009A40AE" w:rsidP="009A40AE">
            <w:pPr>
              <w:jc w:val="both"/>
              <w:rPr>
                <w:i/>
              </w:rPr>
            </w:pPr>
            <w:r w:rsidRPr="009A40AE">
              <w:rPr>
                <w:i/>
              </w:rPr>
              <w:t>1) у розділі IV "Фінансові інвестиції":</w:t>
            </w:r>
          </w:p>
          <w:p w:rsidR="009A40AE" w:rsidRPr="009A40AE" w:rsidRDefault="009A40AE" w:rsidP="009A40AE">
            <w:pPr>
              <w:jc w:val="both"/>
              <w:rPr>
                <w:i/>
              </w:rPr>
            </w:pPr>
            <w:r w:rsidRPr="009A40AE">
              <w:rPr>
                <w:i/>
              </w:rPr>
              <w:t>слова та цифри "З рядка 045 графа 4 Балансу" замінити словами та цифрами "З рядка 1035 графа 4 Балансу (Звіту про фінансовий стан)";</w:t>
            </w:r>
          </w:p>
          <w:p w:rsidR="009A40AE" w:rsidRPr="009A40AE" w:rsidRDefault="009A40AE" w:rsidP="009A40AE">
            <w:pPr>
              <w:jc w:val="both"/>
              <w:rPr>
                <w:i/>
              </w:rPr>
            </w:pPr>
            <w:r w:rsidRPr="009A40AE">
              <w:rPr>
                <w:i/>
              </w:rPr>
              <w:t>слова та цифри "З рядка 220 графа 4 Балансу" замінити словами та цифрами "З рядка 1160 графа 4 Балансу (Звіту про фінансовий стан)";</w:t>
            </w:r>
          </w:p>
          <w:p w:rsidR="009A40AE" w:rsidRPr="009A40AE" w:rsidRDefault="009A40AE" w:rsidP="009A40AE">
            <w:pPr>
              <w:jc w:val="both"/>
              <w:rPr>
                <w:i/>
              </w:rPr>
            </w:pPr>
            <w:r w:rsidRPr="009A40AE">
              <w:rPr>
                <w:i/>
              </w:rPr>
              <w:t>2) у розділі V "Доходи і витрати" у назві рядка 633 слова "продукції основної діяльності" замінити словом "активів";</w:t>
            </w:r>
          </w:p>
          <w:p w:rsidR="009A40AE" w:rsidRPr="009A40AE" w:rsidRDefault="009A40AE" w:rsidP="009A40AE">
            <w:pPr>
              <w:jc w:val="both"/>
              <w:rPr>
                <w:i/>
              </w:rPr>
            </w:pPr>
            <w:r w:rsidRPr="009A40AE">
              <w:rPr>
                <w:i/>
              </w:rPr>
              <w:t>3) у розділі VI "Грошові кошти":</w:t>
            </w:r>
          </w:p>
          <w:p w:rsidR="009A40AE" w:rsidRPr="009A40AE" w:rsidRDefault="009A40AE" w:rsidP="009A40AE">
            <w:pPr>
              <w:jc w:val="both"/>
              <w:rPr>
                <w:i/>
              </w:rPr>
            </w:pPr>
            <w:r w:rsidRPr="009A40AE">
              <w:rPr>
                <w:i/>
              </w:rPr>
              <w:t>назву рядка 640 викласти в такій редакції:</w:t>
            </w:r>
          </w:p>
          <w:p w:rsidR="009A40AE" w:rsidRPr="009A40AE" w:rsidRDefault="009A40AE" w:rsidP="009A40AE">
            <w:pPr>
              <w:jc w:val="both"/>
              <w:rPr>
                <w:i/>
              </w:rPr>
            </w:pPr>
            <w:r w:rsidRPr="009A40AE">
              <w:rPr>
                <w:i/>
              </w:rPr>
              <w:t>"Готівка";</w:t>
            </w:r>
          </w:p>
          <w:p w:rsidR="009A40AE" w:rsidRPr="009A40AE" w:rsidRDefault="009A40AE" w:rsidP="009A40AE">
            <w:pPr>
              <w:jc w:val="both"/>
              <w:rPr>
                <w:i/>
              </w:rPr>
            </w:pPr>
            <w:r w:rsidRPr="009A40AE">
              <w:rPr>
                <w:i/>
              </w:rPr>
              <w:t>слова та цифри "З рядка 070 гр. 4 Балансу" замінити словами та цифрами "З рядка 1090 графа 4 Балансу (Звіту про фінансовий стан)";</w:t>
            </w:r>
          </w:p>
          <w:p w:rsidR="009A40AE" w:rsidRPr="009A40AE" w:rsidRDefault="009A40AE" w:rsidP="009A40AE">
            <w:pPr>
              <w:jc w:val="both"/>
              <w:rPr>
                <w:i/>
              </w:rPr>
            </w:pPr>
            <w:r w:rsidRPr="009A40AE">
              <w:rPr>
                <w:i/>
              </w:rPr>
              <w:t>4) у розділі VIII "Запаси":</w:t>
            </w:r>
          </w:p>
          <w:p w:rsidR="009A40AE" w:rsidRPr="009A40AE" w:rsidRDefault="009A40AE" w:rsidP="009A40AE">
            <w:pPr>
              <w:jc w:val="both"/>
              <w:rPr>
                <w:i/>
              </w:rPr>
            </w:pPr>
            <w:r w:rsidRPr="009A40AE">
              <w:rPr>
                <w:i/>
              </w:rPr>
              <w:t>слова та цифри "З рядка 275 графа 4 Балансу" замінити словами та цифрами "З рядка 1200 графа 4 Балансу (Звіту про фінансовий стан)".</w:t>
            </w:r>
          </w:p>
        </w:tc>
      </w:tr>
    </w:tbl>
    <w:p w:rsidR="007800E5" w:rsidRPr="00DC599E" w:rsidRDefault="007800E5"/>
    <w:sectPr w:rsidR="007800E5" w:rsidRPr="00DC599E" w:rsidSect="0007458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F41" w:rsidRDefault="007C3F41" w:rsidP="00B62AF2">
      <w:r>
        <w:separator/>
      </w:r>
    </w:p>
  </w:endnote>
  <w:endnote w:type="continuationSeparator" w:id="0">
    <w:p w:rsidR="007C3F41" w:rsidRDefault="007C3F41" w:rsidP="00B6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F41" w:rsidRDefault="007C3F41" w:rsidP="00B62AF2">
      <w:r>
        <w:separator/>
      </w:r>
    </w:p>
  </w:footnote>
  <w:footnote w:type="continuationSeparator" w:id="0">
    <w:p w:rsidR="007C3F41" w:rsidRDefault="007C3F41" w:rsidP="00B62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3AF7"/>
    <w:multiLevelType w:val="hybridMultilevel"/>
    <w:tmpl w:val="978C5FC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9F14BB"/>
    <w:multiLevelType w:val="multilevel"/>
    <w:tmpl w:val="E4F04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E791F4B"/>
    <w:multiLevelType w:val="multilevel"/>
    <w:tmpl w:val="546C254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82"/>
    <w:rsid w:val="00005399"/>
    <w:rsid w:val="00007AF6"/>
    <w:rsid w:val="000104F6"/>
    <w:rsid w:val="000119A2"/>
    <w:rsid w:val="00011FE2"/>
    <w:rsid w:val="00013827"/>
    <w:rsid w:val="00015A04"/>
    <w:rsid w:val="00020425"/>
    <w:rsid w:val="000238E0"/>
    <w:rsid w:val="000242F5"/>
    <w:rsid w:val="000265F5"/>
    <w:rsid w:val="0003111A"/>
    <w:rsid w:val="000317D6"/>
    <w:rsid w:val="000329FA"/>
    <w:rsid w:val="00036B40"/>
    <w:rsid w:val="00037D5B"/>
    <w:rsid w:val="00043FB0"/>
    <w:rsid w:val="00044354"/>
    <w:rsid w:val="00044E3C"/>
    <w:rsid w:val="00045B9E"/>
    <w:rsid w:val="00047137"/>
    <w:rsid w:val="0005326B"/>
    <w:rsid w:val="00054B4E"/>
    <w:rsid w:val="00056648"/>
    <w:rsid w:val="00064A76"/>
    <w:rsid w:val="000713AD"/>
    <w:rsid w:val="00074582"/>
    <w:rsid w:val="00075AA0"/>
    <w:rsid w:val="000768D1"/>
    <w:rsid w:val="00077174"/>
    <w:rsid w:val="00077FFD"/>
    <w:rsid w:val="00082133"/>
    <w:rsid w:val="000847C9"/>
    <w:rsid w:val="000858B3"/>
    <w:rsid w:val="00087A54"/>
    <w:rsid w:val="00093613"/>
    <w:rsid w:val="000944EF"/>
    <w:rsid w:val="00094DC0"/>
    <w:rsid w:val="00096A3D"/>
    <w:rsid w:val="000A1721"/>
    <w:rsid w:val="000A32AE"/>
    <w:rsid w:val="000A55A7"/>
    <w:rsid w:val="000A645A"/>
    <w:rsid w:val="000B20C2"/>
    <w:rsid w:val="000B397A"/>
    <w:rsid w:val="000B432D"/>
    <w:rsid w:val="000B749E"/>
    <w:rsid w:val="000C0319"/>
    <w:rsid w:val="000C44D6"/>
    <w:rsid w:val="000C5711"/>
    <w:rsid w:val="000C5742"/>
    <w:rsid w:val="000C6CDE"/>
    <w:rsid w:val="000C6D04"/>
    <w:rsid w:val="000D1064"/>
    <w:rsid w:val="000D4E8A"/>
    <w:rsid w:val="000D5C90"/>
    <w:rsid w:val="000D7BB2"/>
    <w:rsid w:val="000E34A8"/>
    <w:rsid w:val="000E40D6"/>
    <w:rsid w:val="000E6BE2"/>
    <w:rsid w:val="000E6E0B"/>
    <w:rsid w:val="000E7423"/>
    <w:rsid w:val="000F0197"/>
    <w:rsid w:val="000F14E1"/>
    <w:rsid w:val="000F1900"/>
    <w:rsid w:val="000F6524"/>
    <w:rsid w:val="000F7C1D"/>
    <w:rsid w:val="00102E35"/>
    <w:rsid w:val="00105E1A"/>
    <w:rsid w:val="00106077"/>
    <w:rsid w:val="00106BCE"/>
    <w:rsid w:val="00107143"/>
    <w:rsid w:val="00111547"/>
    <w:rsid w:val="00116BD4"/>
    <w:rsid w:val="00117D7F"/>
    <w:rsid w:val="001203F7"/>
    <w:rsid w:val="0012151B"/>
    <w:rsid w:val="0012192A"/>
    <w:rsid w:val="001241A2"/>
    <w:rsid w:val="00125B9E"/>
    <w:rsid w:val="00131DD1"/>
    <w:rsid w:val="001337B4"/>
    <w:rsid w:val="001341E6"/>
    <w:rsid w:val="00135900"/>
    <w:rsid w:val="00136C00"/>
    <w:rsid w:val="001408AB"/>
    <w:rsid w:val="00140F60"/>
    <w:rsid w:val="00142B5F"/>
    <w:rsid w:val="00142C5A"/>
    <w:rsid w:val="00142E1E"/>
    <w:rsid w:val="00142E98"/>
    <w:rsid w:val="00143996"/>
    <w:rsid w:val="00143DFC"/>
    <w:rsid w:val="00145395"/>
    <w:rsid w:val="001454DE"/>
    <w:rsid w:val="00146FCA"/>
    <w:rsid w:val="00151E71"/>
    <w:rsid w:val="00156A7D"/>
    <w:rsid w:val="001657D9"/>
    <w:rsid w:val="00166655"/>
    <w:rsid w:val="001670E2"/>
    <w:rsid w:val="00167100"/>
    <w:rsid w:val="00170D43"/>
    <w:rsid w:val="001731A2"/>
    <w:rsid w:val="00175C2D"/>
    <w:rsid w:val="00176AB8"/>
    <w:rsid w:val="00183774"/>
    <w:rsid w:val="00184058"/>
    <w:rsid w:val="001843F2"/>
    <w:rsid w:val="00184921"/>
    <w:rsid w:val="00187B54"/>
    <w:rsid w:val="00190CF3"/>
    <w:rsid w:val="00193230"/>
    <w:rsid w:val="001960BB"/>
    <w:rsid w:val="0019623E"/>
    <w:rsid w:val="001A1BC3"/>
    <w:rsid w:val="001A1E54"/>
    <w:rsid w:val="001A3760"/>
    <w:rsid w:val="001A5AC8"/>
    <w:rsid w:val="001A6348"/>
    <w:rsid w:val="001B03BC"/>
    <w:rsid w:val="001B0B2A"/>
    <w:rsid w:val="001B2329"/>
    <w:rsid w:val="001B286D"/>
    <w:rsid w:val="001B3522"/>
    <w:rsid w:val="001B4F5B"/>
    <w:rsid w:val="001C1CD7"/>
    <w:rsid w:val="001C3FB4"/>
    <w:rsid w:val="001D0C13"/>
    <w:rsid w:val="001D1C42"/>
    <w:rsid w:val="001D22F8"/>
    <w:rsid w:val="001D7402"/>
    <w:rsid w:val="001D7F0E"/>
    <w:rsid w:val="001E206E"/>
    <w:rsid w:val="001E4F5A"/>
    <w:rsid w:val="001E64BA"/>
    <w:rsid w:val="001E7579"/>
    <w:rsid w:val="001E7582"/>
    <w:rsid w:val="001F11F0"/>
    <w:rsid w:val="001F1278"/>
    <w:rsid w:val="001F3433"/>
    <w:rsid w:val="001F3DD4"/>
    <w:rsid w:val="002014C4"/>
    <w:rsid w:val="002031F4"/>
    <w:rsid w:val="0020541D"/>
    <w:rsid w:val="0020652A"/>
    <w:rsid w:val="002102EB"/>
    <w:rsid w:val="0021549C"/>
    <w:rsid w:val="0021553C"/>
    <w:rsid w:val="00215975"/>
    <w:rsid w:val="00215A99"/>
    <w:rsid w:val="002234E3"/>
    <w:rsid w:val="00224F4E"/>
    <w:rsid w:val="002261C4"/>
    <w:rsid w:val="0022696B"/>
    <w:rsid w:val="00227C26"/>
    <w:rsid w:val="00234237"/>
    <w:rsid w:val="002361F6"/>
    <w:rsid w:val="00242AEB"/>
    <w:rsid w:val="002457C3"/>
    <w:rsid w:val="00245F4A"/>
    <w:rsid w:val="00252140"/>
    <w:rsid w:val="0025232C"/>
    <w:rsid w:val="00254BD4"/>
    <w:rsid w:val="00260FF5"/>
    <w:rsid w:val="00261934"/>
    <w:rsid w:val="00262C62"/>
    <w:rsid w:val="00263586"/>
    <w:rsid w:val="00270398"/>
    <w:rsid w:val="00272784"/>
    <w:rsid w:val="00272D1C"/>
    <w:rsid w:val="00272FD5"/>
    <w:rsid w:val="00273EA9"/>
    <w:rsid w:val="00274243"/>
    <w:rsid w:val="002742BE"/>
    <w:rsid w:val="002749EE"/>
    <w:rsid w:val="0027584B"/>
    <w:rsid w:val="002760B0"/>
    <w:rsid w:val="00277696"/>
    <w:rsid w:val="0027787A"/>
    <w:rsid w:val="00290DEB"/>
    <w:rsid w:val="00293564"/>
    <w:rsid w:val="0029475B"/>
    <w:rsid w:val="00295540"/>
    <w:rsid w:val="00295A7F"/>
    <w:rsid w:val="00297B87"/>
    <w:rsid w:val="002A026C"/>
    <w:rsid w:val="002A1F42"/>
    <w:rsid w:val="002A3B05"/>
    <w:rsid w:val="002A68F0"/>
    <w:rsid w:val="002A694D"/>
    <w:rsid w:val="002B16D1"/>
    <w:rsid w:val="002B1C51"/>
    <w:rsid w:val="002B24C0"/>
    <w:rsid w:val="002B2DB9"/>
    <w:rsid w:val="002B6987"/>
    <w:rsid w:val="002B6DB4"/>
    <w:rsid w:val="002C167E"/>
    <w:rsid w:val="002C2ACE"/>
    <w:rsid w:val="002C7A1B"/>
    <w:rsid w:val="002D0B2E"/>
    <w:rsid w:val="002D0B5E"/>
    <w:rsid w:val="002D0E10"/>
    <w:rsid w:val="002D177C"/>
    <w:rsid w:val="002D55BA"/>
    <w:rsid w:val="002E12EE"/>
    <w:rsid w:val="002E439E"/>
    <w:rsid w:val="002E43FB"/>
    <w:rsid w:val="002E5A5A"/>
    <w:rsid w:val="002E5EFD"/>
    <w:rsid w:val="002E6B99"/>
    <w:rsid w:val="002E7A71"/>
    <w:rsid w:val="002F22B3"/>
    <w:rsid w:val="002F4CC2"/>
    <w:rsid w:val="002F6F47"/>
    <w:rsid w:val="002F7449"/>
    <w:rsid w:val="003044AE"/>
    <w:rsid w:val="00305B9D"/>
    <w:rsid w:val="003109A0"/>
    <w:rsid w:val="00311EED"/>
    <w:rsid w:val="00312E8E"/>
    <w:rsid w:val="003135A6"/>
    <w:rsid w:val="003149BD"/>
    <w:rsid w:val="00316360"/>
    <w:rsid w:val="00321A4C"/>
    <w:rsid w:val="00325C9F"/>
    <w:rsid w:val="003334DD"/>
    <w:rsid w:val="0033587A"/>
    <w:rsid w:val="00335D50"/>
    <w:rsid w:val="00345D03"/>
    <w:rsid w:val="00350567"/>
    <w:rsid w:val="00350E08"/>
    <w:rsid w:val="00351800"/>
    <w:rsid w:val="00352F38"/>
    <w:rsid w:val="0036340A"/>
    <w:rsid w:val="003640E2"/>
    <w:rsid w:val="003705C4"/>
    <w:rsid w:val="0037224C"/>
    <w:rsid w:val="00373DFD"/>
    <w:rsid w:val="00377C4F"/>
    <w:rsid w:val="00380DF0"/>
    <w:rsid w:val="00381AD7"/>
    <w:rsid w:val="0038432F"/>
    <w:rsid w:val="003864AE"/>
    <w:rsid w:val="003936EC"/>
    <w:rsid w:val="003955A7"/>
    <w:rsid w:val="00395626"/>
    <w:rsid w:val="003975C5"/>
    <w:rsid w:val="003A3863"/>
    <w:rsid w:val="003A44D3"/>
    <w:rsid w:val="003A4781"/>
    <w:rsid w:val="003A5BF4"/>
    <w:rsid w:val="003A6AD2"/>
    <w:rsid w:val="003A7F5F"/>
    <w:rsid w:val="003B0894"/>
    <w:rsid w:val="003B12CF"/>
    <w:rsid w:val="003B151E"/>
    <w:rsid w:val="003B2959"/>
    <w:rsid w:val="003B69F1"/>
    <w:rsid w:val="003C1412"/>
    <w:rsid w:val="003C26CD"/>
    <w:rsid w:val="003C4AFC"/>
    <w:rsid w:val="003C7B89"/>
    <w:rsid w:val="003C7C92"/>
    <w:rsid w:val="003D07FC"/>
    <w:rsid w:val="003D1E9A"/>
    <w:rsid w:val="003D2387"/>
    <w:rsid w:val="003D24EC"/>
    <w:rsid w:val="003D498E"/>
    <w:rsid w:val="003D4F14"/>
    <w:rsid w:val="003E26B2"/>
    <w:rsid w:val="003E2C21"/>
    <w:rsid w:val="003E5E06"/>
    <w:rsid w:val="003E778D"/>
    <w:rsid w:val="003F0713"/>
    <w:rsid w:val="003F1489"/>
    <w:rsid w:val="003F2777"/>
    <w:rsid w:val="003F4C54"/>
    <w:rsid w:val="003F4D10"/>
    <w:rsid w:val="00401546"/>
    <w:rsid w:val="004041EE"/>
    <w:rsid w:val="0040453C"/>
    <w:rsid w:val="004051ED"/>
    <w:rsid w:val="00405A07"/>
    <w:rsid w:val="004115A6"/>
    <w:rsid w:val="00411766"/>
    <w:rsid w:val="00413972"/>
    <w:rsid w:val="00416170"/>
    <w:rsid w:val="004175FC"/>
    <w:rsid w:val="00420D43"/>
    <w:rsid w:val="00421491"/>
    <w:rsid w:val="00422B5D"/>
    <w:rsid w:val="00423742"/>
    <w:rsid w:val="00423B47"/>
    <w:rsid w:val="00425F0E"/>
    <w:rsid w:val="0043088C"/>
    <w:rsid w:val="00431B15"/>
    <w:rsid w:val="004322F2"/>
    <w:rsid w:val="004352D6"/>
    <w:rsid w:val="00435599"/>
    <w:rsid w:val="00436960"/>
    <w:rsid w:val="00437A78"/>
    <w:rsid w:val="00437C36"/>
    <w:rsid w:val="0044321C"/>
    <w:rsid w:val="00445083"/>
    <w:rsid w:val="0044642F"/>
    <w:rsid w:val="004504FC"/>
    <w:rsid w:val="004510C9"/>
    <w:rsid w:val="004546CF"/>
    <w:rsid w:val="00454B7E"/>
    <w:rsid w:val="00457C38"/>
    <w:rsid w:val="004601B0"/>
    <w:rsid w:val="00465E39"/>
    <w:rsid w:val="00467B63"/>
    <w:rsid w:val="0047017B"/>
    <w:rsid w:val="004703EB"/>
    <w:rsid w:val="00470F06"/>
    <w:rsid w:val="004710CE"/>
    <w:rsid w:val="0047229E"/>
    <w:rsid w:val="00476FF4"/>
    <w:rsid w:val="004816A9"/>
    <w:rsid w:val="00481EF1"/>
    <w:rsid w:val="004830F2"/>
    <w:rsid w:val="00483ABF"/>
    <w:rsid w:val="00483B2A"/>
    <w:rsid w:val="00484DC3"/>
    <w:rsid w:val="0048538F"/>
    <w:rsid w:val="0049068D"/>
    <w:rsid w:val="00493823"/>
    <w:rsid w:val="00493963"/>
    <w:rsid w:val="0049541D"/>
    <w:rsid w:val="004963E2"/>
    <w:rsid w:val="004A00E4"/>
    <w:rsid w:val="004A013B"/>
    <w:rsid w:val="004A265E"/>
    <w:rsid w:val="004A2BC4"/>
    <w:rsid w:val="004A3B21"/>
    <w:rsid w:val="004A49F0"/>
    <w:rsid w:val="004A4A77"/>
    <w:rsid w:val="004B145A"/>
    <w:rsid w:val="004B3D11"/>
    <w:rsid w:val="004B62F2"/>
    <w:rsid w:val="004B6BB2"/>
    <w:rsid w:val="004C0460"/>
    <w:rsid w:val="004C23DE"/>
    <w:rsid w:val="004C4266"/>
    <w:rsid w:val="004C4B47"/>
    <w:rsid w:val="004C60D1"/>
    <w:rsid w:val="004D2BAE"/>
    <w:rsid w:val="004D31EB"/>
    <w:rsid w:val="004D33F2"/>
    <w:rsid w:val="004E0FF8"/>
    <w:rsid w:val="004E2808"/>
    <w:rsid w:val="004E401D"/>
    <w:rsid w:val="004E4DB3"/>
    <w:rsid w:val="004E6130"/>
    <w:rsid w:val="004E6C05"/>
    <w:rsid w:val="004F2F9A"/>
    <w:rsid w:val="004F4281"/>
    <w:rsid w:val="004F6E26"/>
    <w:rsid w:val="00500CB8"/>
    <w:rsid w:val="00501352"/>
    <w:rsid w:val="00502A54"/>
    <w:rsid w:val="0050408A"/>
    <w:rsid w:val="0050690C"/>
    <w:rsid w:val="005072A1"/>
    <w:rsid w:val="00510A72"/>
    <w:rsid w:val="00515BBA"/>
    <w:rsid w:val="00521BA2"/>
    <w:rsid w:val="0052212E"/>
    <w:rsid w:val="00524AAA"/>
    <w:rsid w:val="005255D1"/>
    <w:rsid w:val="00526A07"/>
    <w:rsid w:val="00531350"/>
    <w:rsid w:val="0053550B"/>
    <w:rsid w:val="005357F0"/>
    <w:rsid w:val="00541EDC"/>
    <w:rsid w:val="0054353C"/>
    <w:rsid w:val="00545AC7"/>
    <w:rsid w:val="0054680A"/>
    <w:rsid w:val="005509CE"/>
    <w:rsid w:val="00552656"/>
    <w:rsid w:val="00553123"/>
    <w:rsid w:val="005534A7"/>
    <w:rsid w:val="00554A28"/>
    <w:rsid w:val="00557004"/>
    <w:rsid w:val="005648B2"/>
    <w:rsid w:val="00572F82"/>
    <w:rsid w:val="0057367E"/>
    <w:rsid w:val="00575A12"/>
    <w:rsid w:val="005810DF"/>
    <w:rsid w:val="00581881"/>
    <w:rsid w:val="0058265B"/>
    <w:rsid w:val="0058403B"/>
    <w:rsid w:val="00586236"/>
    <w:rsid w:val="005870D8"/>
    <w:rsid w:val="0058734A"/>
    <w:rsid w:val="00593E6A"/>
    <w:rsid w:val="0059430A"/>
    <w:rsid w:val="00596201"/>
    <w:rsid w:val="005A11BA"/>
    <w:rsid w:val="005A161B"/>
    <w:rsid w:val="005A5330"/>
    <w:rsid w:val="005A7699"/>
    <w:rsid w:val="005B7609"/>
    <w:rsid w:val="005C3986"/>
    <w:rsid w:val="005C545C"/>
    <w:rsid w:val="005C7051"/>
    <w:rsid w:val="005D0E2D"/>
    <w:rsid w:val="005D2238"/>
    <w:rsid w:val="005D4BA5"/>
    <w:rsid w:val="005D71AA"/>
    <w:rsid w:val="005D71CA"/>
    <w:rsid w:val="005D752E"/>
    <w:rsid w:val="005E099A"/>
    <w:rsid w:val="005E0B1D"/>
    <w:rsid w:val="005E1751"/>
    <w:rsid w:val="005E3F5B"/>
    <w:rsid w:val="005F093E"/>
    <w:rsid w:val="005F128A"/>
    <w:rsid w:val="005F3592"/>
    <w:rsid w:val="005F3B46"/>
    <w:rsid w:val="005F410D"/>
    <w:rsid w:val="005F4E7D"/>
    <w:rsid w:val="005F5C05"/>
    <w:rsid w:val="006006B9"/>
    <w:rsid w:val="006020B0"/>
    <w:rsid w:val="00604212"/>
    <w:rsid w:val="00605611"/>
    <w:rsid w:val="0061010E"/>
    <w:rsid w:val="00610399"/>
    <w:rsid w:val="00610A5D"/>
    <w:rsid w:val="00611629"/>
    <w:rsid w:val="00613B90"/>
    <w:rsid w:val="006150A0"/>
    <w:rsid w:val="00615798"/>
    <w:rsid w:val="006167A7"/>
    <w:rsid w:val="00620511"/>
    <w:rsid w:val="0062516A"/>
    <w:rsid w:val="00635B5F"/>
    <w:rsid w:val="00636871"/>
    <w:rsid w:val="00640625"/>
    <w:rsid w:val="00643665"/>
    <w:rsid w:val="0064772B"/>
    <w:rsid w:val="00652AAF"/>
    <w:rsid w:val="00655940"/>
    <w:rsid w:val="00660B6A"/>
    <w:rsid w:val="00663A93"/>
    <w:rsid w:val="00664A66"/>
    <w:rsid w:val="00666BCE"/>
    <w:rsid w:val="00667C5C"/>
    <w:rsid w:val="006700C5"/>
    <w:rsid w:val="006702A2"/>
    <w:rsid w:val="00673607"/>
    <w:rsid w:val="0067703F"/>
    <w:rsid w:val="00677FE0"/>
    <w:rsid w:val="00680C3C"/>
    <w:rsid w:val="00681E1B"/>
    <w:rsid w:val="006840BE"/>
    <w:rsid w:val="0068478E"/>
    <w:rsid w:val="006907F1"/>
    <w:rsid w:val="006917FA"/>
    <w:rsid w:val="00691C51"/>
    <w:rsid w:val="00691F89"/>
    <w:rsid w:val="0069241F"/>
    <w:rsid w:val="0069283B"/>
    <w:rsid w:val="00693693"/>
    <w:rsid w:val="0069422E"/>
    <w:rsid w:val="006950B8"/>
    <w:rsid w:val="00695242"/>
    <w:rsid w:val="00695CE0"/>
    <w:rsid w:val="006973CE"/>
    <w:rsid w:val="006A03C0"/>
    <w:rsid w:val="006A0BE0"/>
    <w:rsid w:val="006A1BB0"/>
    <w:rsid w:val="006A291F"/>
    <w:rsid w:val="006A5E71"/>
    <w:rsid w:val="006B351A"/>
    <w:rsid w:val="006B46EC"/>
    <w:rsid w:val="006B6D77"/>
    <w:rsid w:val="006C06E6"/>
    <w:rsid w:val="006C0ED4"/>
    <w:rsid w:val="006C2F71"/>
    <w:rsid w:val="006C6133"/>
    <w:rsid w:val="006C6F18"/>
    <w:rsid w:val="006C7259"/>
    <w:rsid w:val="006D164C"/>
    <w:rsid w:val="006D2042"/>
    <w:rsid w:val="006D7FC9"/>
    <w:rsid w:val="006E018E"/>
    <w:rsid w:val="006E4655"/>
    <w:rsid w:val="006E46FC"/>
    <w:rsid w:val="006E4762"/>
    <w:rsid w:val="006E4A3C"/>
    <w:rsid w:val="006E64BC"/>
    <w:rsid w:val="006E7E4B"/>
    <w:rsid w:val="006F14CE"/>
    <w:rsid w:val="006F18A8"/>
    <w:rsid w:val="006F3CCA"/>
    <w:rsid w:val="006F510B"/>
    <w:rsid w:val="006F5452"/>
    <w:rsid w:val="006F5FAD"/>
    <w:rsid w:val="006F7156"/>
    <w:rsid w:val="006F7521"/>
    <w:rsid w:val="00702FD9"/>
    <w:rsid w:val="00705B1A"/>
    <w:rsid w:val="00707218"/>
    <w:rsid w:val="007105A1"/>
    <w:rsid w:val="00710D03"/>
    <w:rsid w:val="00710F51"/>
    <w:rsid w:val="007126BF"/>
    <w:rsid w:val="00713471"/>
    <w:rsid w:val="00715CC0"/>
    <w:rsid w:val="00717604"/>
    <w:rsid w:val="00720FE7"/>
    <w:rsid w:val="007212DF"/>
    <w:rsid w:val="00723311"/>
    <w:rsid w:val="00724CA3"/>
    <w:rsid w:val="00724DA2"/>
    <w:rsid w:val="00725A47"/>
    <w:rsid w:val="007300E1"/>
    <w:rsid w:val="00737A2E"/>
    <w:rsid w:val="00740384"/>
    <w:rsid w:val="00740D69"/>
    <w:rsid w:val="0074282E"/>
    <w:rsid w:val="00745A30"/>
    <w:rsid w:val="00745F14"/>
    <w:rsid w:val="007509D4"/>
    <w:rsid w:val="00750E57"/>
    <w:rsid w:val="00753153"/>
    <w:rsid w:val="00753B7C"/>
    <w:rsid w:val="007550FC"/>
    <w:rsid w:val="00755349"/>
    <w:rsid w:val="00760683"/>
    <w:rsid w:val="00760804"/>
    <w:rsid w:val="007624A2"/>
    <w:rsid w:val="00773036"/>
    <w:rsid w:val="00774A48"/>
    <w:rsid w:val="0077547B"/>
    <w:rsid w:val="00777EE3"/>
    <w:rsid w:val="007800E5"/>
    <w:rsid w:val="00780A16"/>
    <w:rsid w:val="00781828"/>
    <w:rsid w:val="00785477"/>
    <w:rsid w:val="007856F1"/>
    <w:rsid w:val="00785709"/>
    <w:rsid w:val="00790685"/>
    <w:rsid w:val="007929C9"/>
    <w:rsid w:val="00794469"/>
    <w:rsid w:val="00795498"/>
    <w:rsid w:val="00795CBC"/>
    <w:rsid w:val="00796C17"/>
    <w:rsid w:val="00796C2C"/>
    <w:rsid w:val="007976B2"/>
    <w:rsid w:val="007A076C"/>
    <w:rsid w:val="007A19DA"/>
    <w:rsid w:val="007A50E4"/>
    <w:rsid w:val="007B11C9"/>
    <w:rsid w:val="007B2E78"/>
    <w:rsid w:val="007B36E4"/>
    <w:rsid w:val="007B3F96"/>
    <w:rsid w:val="007B7931"/>
    <w:rsid w:val="007C0DDA"/>
    <w:rsid w:val="007C3F41"/>
    <w:rsid w:val="007C6D1F"/>
    <w:rsid w:val="007C72C2"/>
    <w:rsid w:val="007C7F84"/>
    <w:rsid w:val="007D1D91"/>
    <w:rsid w:val="007E2CCB"/>
    <w:rsid w:val="007E6C55"/>
    <w:rsid w:val="007F2C30"/>
    <w:rsid w:val="007F4A6C"/>
    <w:rsid w:val="007F5AC4"/>
    <w:rsid w:val="00800A9B"/>
    <w:rsid w:val="00801063"/>
    <w:rsid w:val="0080147A"/>
    <w:rsid w:val="008024F9"/>
    <w:rsid w:val="008035B3"/>
    <w:rsid w:val="00803BA6"/>
    <w:rsid w:val="00804DFA"/>
    <w:rsid w:val="008114AF"/>
    <w:rsid w:val="00814A99"/>
    <w:rsid w:val="0081623E"/>
    <w:rsid w:val="00816468"/>
    <w:rsid w:val="0082479A"/>
    <w:rsid w:val="00830F52"/>
    <w:rsid w:val="008357CD"/>
    <w:rsid w:val="0084074E"/>
    <w:rsid w:val="008412AD"/>
    <w:rsid w:val="0084130F"/>
    <w:rsid w:val="008418DA"/>
    <w:rsid w:val="008459A1"/>
    <w:rsid w:val="00847B49"/>
    <w:rsid w:val="00852211"/>
    <w:rsid w:val="00852B1E"/>
    <w:rsid w:val="00855B89"/>
    <w:rsid w:val="00857251"/>
    <w:rsid w:val="008608F7"/>
    <w:rsid w:val="00863E85"/>
    <w:rsid w:val="00866905"/>
    <w:rsid w:val="00870A97"/>
    <w:rsid w:val="00870BEF"/>
    <w:rsid w:val="00873038"/>
    <w:rsid w:val="0087596B"/>
    <w:rsid w:val="00884B97"/>
    <w:rsid w:val="008853C4"/>
    <w:rsid w:val="00891AB1"/>
    <w:rsid w:val="00895169"/>
    <w:rsid w:val="00895EE4"/>
    <w:rsid w:val="008969AF"/>
    <w:rsid w:val="0089726A"/>
    <w:rsid w:val="00897D34"/>
    <w:rsid w:val="00897F5B"/>
    <w:rsid w:val="008A1ECD"/>
    <w:rsid w:val="008A3C7E"/>
    <w:rsid w:val="008A41C6"/>
    <w:rsid w:val="008A4D05"/>
    <w:rsid w:val="008A7321"/>
    <w:rsid w:val="008B0850"/>
    <w:rsid w:val="008B29C8"/>
    <w:rsid w:val="008B3278"/>
    <w:rsid w:val="008B386E"/>
    <w:rsid w:val="008B46A6"/>
    <w:rsid w:val="008B7DFE"/>
    <w:rsid w:val="008C0B35"/>
    <w:rsid w:val="008C16F6"/>
    <w:rsid w:val="008C2ABD"/>
    <w:rsid w:val="008C33E8"/>
    <w:rsid w:val="008C33FA"/>
    <w:rsid w:val="008C68DB"/>
    <w:rsid w:val="008C6F7F"/>
    <w:rsid w:val="008D2E26"/>
    <w:rsid w:val="008D6153"/>
    <w:rsid w:val="008E11F8"/>
    <w:rsid w:val="008E20AA"/>
    <w:rsid w:val="008E225E"/>
    <w:rsid w:val="008E3225"/>
    <w:rsid w:val="008E3FCE"/>
    <w:rsid w:val="008E5872"/>
    <w:rsid w:val="008F24CD"/>
    <w:rsid w:val="008F261F"/>
    <w:rsid w:val="008F331B"/>
    <w:rsid w:val="008F354D"/>
    <w:rsid w:val="008F48FF"/>
    <w:rsid w:val="008F604B"/>
    <w:rsid w:val="008F6071"/>
    <w:rsid w:val="009003BB"/>
    <w:rsid w:val="00901320"/>
    <w:rsid w:val="00901C31"/>
    <w:rsid w:val="00902D99"/>
    <w:rsid w:val="00906D86"/>
    <w:rsid w:val="00912931"/>
    <w:rsid w:val="00913760"/>
    <w:rsid w:val="009163C1"/>
    <w:rsid w:val="00916A61"/>
    <w:rsid w:val="009170FF"/>
    <w:rsid w:val="00920A5B"/>
    <w:rsid w:val="00921381"/>
    <w:rsid w:val="00924124"/>
    <w:rsid w:val="0092727D"/>
    <w:rsid w:val="00932F9E"/>
    <w:rsid w:val="0093485D"/>
    <w:rsid w:val="009366F0"/>
    <w:rsid w:val="00943BEA"/>
    <w:rsid w:val="009445C5"/>
    <w:rsid w:val="009505F7"/>
    <w:rsid w:val="00953FEE"/>
    <w:rsid w:val="009548CA"/>
    <w:rsid w:val="00954CDE"/>
    <w:rsid w:val="00955042"/>
    <w:rsid w:val="00956A28"/>
    <w:rsid w:val="0095734A"/>
    <w:rsid w:val="00957F24"/>
    <w:rsid w:val="00957F45"/>
    <w:rsid w:val="009627D3"/>
    <w:rsid w:val="00962EEA"/>
    <w:rsid w:val="009632ED"/>
    <w:rsid w:val="00963A64"/>
    <w:rsid w:val="00963E86"/>
    <w:rsid w:val="009647A5"/>
    <w:rsid w:val="0096487E"/>
    <w:rsid w:val="00964AAC"/>
    <w:rsid w:val="00965D47"/>
    <w:rsid w:val="009706CF"/>
    <w:rsid w:val="00971AD4"/>
    <w:rsid w:val="00977072"/>
    <w:rsid w:val="009816D7"/>
    <w:rsid w:val="009835A4"/>
    <w:rsid w:val="0098469D"/>
    <w:rsid w:val="009853F2"/>
    <w:rsid w:val="00990F83"/>
    <w:rsid w:val="00992F1E"/>
    <w:rsid w:val="00994E0A"/>
    <w:rsid w:val="0099588E"/>
    <w:rsid w:val="00997038"/>
    <w:rsid w:val="0099712E"/>
    <w:rsid w:val="009A0097"/>
    <w:rsid w:val="009A2263"/>
    <w:rsid w:val="009A2327"/>
    <w:rsid w:val="009A40AE"/>
    <w:rsid w:val="009A476C"/>
    <w:rsid w:val="009A6D39"/>
    <w:rsid w:val="009B276F"/>
    <w:rsid w:val="009B41AB"/>
    <w:rsid w:val="009B5C2C"/>
    <w:rsid w:val="009B6D74"/>
    <w:rsid w:val="009C0FFC"/>
    <w:rsid w:val="009C5470"/>
    <w:rsid w:val="009C6E2B"/>
    <w:rsid w:val="009D0336"/>
    <w:rsid w:val="009D1320"/>
    <w:rsid w:val="009D1B54"/>
    <w:rsid w:val="009D2433"/>
    <w:rsid w:val="009D332B"/>
    <w:rsid w:val="009E4FB7"/>
    <w:rsid w:val="009E65D5"/>
    <w:rsid w:val="009E6BDD"/>
    <w:rsid w:val="009E7FDD"/>
    <w:rsid w:val="009F552D"/>
    <w:rsid w:val="009F5A27"/>
    <w:rsid w:val="00A01813"/>
    <w:rsid w:val="00A024AC"/>
    <w:rsid w:val="00A1100A"/>
    <w:rsid w:val="00A12100"/>
    <w:rsid w:val="00A174F7"/>
    <w:rsid w:val="00A1752A"/>
    <w:rsid w:val="00A201A7"/>
    <w:rsid w:val="00A25CA9"/>
    <w:rsid w:val="00A26AEB"/>
    <w:rsid w:val="00A31F24"/>
    <w:rsid w:val="00A32409"/>
    <w:rsid w:val="00A3297C"/>
    <w:rsid w:val="00A333C6"/>
    <w:rsid w:val="00A369E3"/>
    <w:rsid w:val="00A377FE"/>
    <w:rsid w:val="00A40C29"/>
    <w:rsid w:val="00A41441"/>
    <w:rsid w:val="00A44718"/>
    <w:rsid w:val="00A46F58"/>
    <w:rsid w:val="00A46FD2"/>
    <w:rsid w:val="00A53318"/>
    <w:rsid w:val="00A5389B"/>
    <w:rsid w:val="00A54B82"/>
    <w:rsid w:val="00A611A8"/>
    <w:rsid w:val="00A619DF"/>
    <w:rsid w:val="00A628DA"/>
    <w:rsid w:val="00A63452"/>
    <w:rsid w:val="00A67245"/>
    <w:rsid w:val="00A706A0"/>
    <w:rsid w:val="00A71320"/>
    <w:rsid w:val="00A71876"/>
    <w:rsid w:val="00A73C96"/>
    <w:rsid w:val="00A75536"/>
    <w:rsid w:val="00A75E5F"/>
    <w:rsid w:val="00A77E7B"/>
    <w:rsid w:val="00A80946"/>
    <w:rsid w:val="00A80DF8"/>
    <w:rsid w:val="00A81025"/>
    <w:rsid w:val="00A850CC"/>
    <w:rsid w:val="00A90E42"/>
    <w:rsid w:val="00A916FB"/>
    <w:rsid w:val="00A9313E"/>
    <w:rsid w:val="00AA086F"/>
    <w:rsid w:val="00AA1252"/>
    <w:rsid w:val="00AA7113"/>
    <w:rsid w:val="00AB024E"/>
    <w:rsid w:val="00AB0C3A"/>
    <w:rsid w:val="00AB4966"/>
    <w:rsid w:val="00AB5AAD"/>
    <w:rsid w:val="00AB604D"/>
    <w:rsid w:val="00AC27E1"/>
    <w:rsid w:val="00AC6B8F"/>
    <w:rsid w:val="00AC71F6"/>
    <w:rsid w:val="00AD0E9A"/>
    <w:rsid w:val="00AD22FC"/>
    <w:rsid w:val="00AD31B0"/>
    <w:rsid w:val="00AD49DE"/>
    <w:rsid w:val="00AD6037"/>
    <w:rsid w:val="00AD6150"/>
    <w:rsid w:val="00AE1C45"/>
    <w:rsid w:val="00AE3DEB"/>
    <w:rsid w:val="00AE67CE"/>
    <w:rsid w:val="00AE7C22"/>
    <w:rsid w:val="00AF08D8"/>
    <w:rsid w:val="00AF16CF"/>
    <w:rsid w:val="00AF7D83"/>
    <w:rsid w:val="00B01DC3"/>
    <w:rsid w:val="00B1082E"/>
    <w:rsid w:val="00B1266E"/>
    <w:rsid w:val="00B13FC1"/>
    <w:rsid w:val="00B150D4"/>
    <w:rsid w:val="00B2145A"/>
    <w:rsid w:val="00B267FC"/>
    <w:rsid w:val="00B26D21"/>
    <w:rsid w:val="00B30077"/>
    <w:rsid w:val="00B30DB1"/>
    <w:rsid w:val="00B3157D"/>
    <w:rsid w:val="00B32DA5"/>
    <w:rsid w:val="00B35472"/>
    <w:rsid w:val="00B40D84"/>
    <w:rsid w:val="00B43546"/>
    <w:rsid w:val="00B44FB7"/>
    <w:rsid w:val="00B46D9C"/>
    <w:rsid w:val="00B46F8D"/>
    <w:rsid w:val="00B51AC7"/>
    <w:rsid w:val="00B5459C"/>
    <w:rsid w:val="00B548F1"/>
    <w:rsid w:val="00B54932"/>
    <w:rsid w:val="00B556BA"/>
    <w:rsid w:val="00B606CD"/>
    <w:rsid w:val="00B61A6C"/>
    <w:rsid w:val="00B62AF2"/>
    <w:rsid w:val="00B630F7"/>
    <w:rsid w:val="00B63692"/>
    <w:rsid w:val="00B65FEF"/>
    <w:rsid w:val="00B6686F"/>
    <w:rsid w:val="00B67197"/>
    <w:rsid w:val="00B72572"/>
    <w:rsid w:val="00B74D9F"/>
    <w:rsid w:val="00B77D48"/>
    <w:rsid w:val="00B82609"/>
    <w:rsid w:val="00B834B5"/>
    <w:rsid w:val="00B863AB"/>
    <w:rsid w:val="00B86F4E"/>
    <w:rsid w:val="00B87524"/>
    <w:rsid w:val="00B87598"/>
    <w:rsid w:val="00B906D4"/>
    <w:rsid w:val="00B90B83"/>
    <w:rsid w:val="00B9128C"/>
    <w:rsid w:val="00B92BFE"/>
    <w:rsid w:val="00B93270"/>
    <w:rsid w:val="00B95BFB"/>
    <w:rsid w:val="00B97D70"/>
    <w:rsid w:val="00BA7ACF"/>
    <w:rsid w:val="00BB018B"/>
    <w:rsid w:val="00BB0F5C"/>
    <w:rsid w:val="00BB1A92"/>
    <w:rsid w:val="00BB3332"/>
    <w:rsid w:val="00BB4418"/>
    <w:rsid w:val="00BB5F67"/>
    <w:rsid w:val="00BC0D91"/>
    <w:rsid w:val="00BC1864"/>
    <w:rsid w:val="00BC38AC"/>
    <w:rsid w:val="00BC493F"/>
    <w:rsid w:val="00BC50FA"/>
    <w:rsid w:val="00BC64C2"/>
    <w:rsid w:val="00BD2367"/>
    <w:rsid w:val="00BD476E"/>
    <w:rsid w:val="00BD579D"/>
    <w:rsid w:val="00BD765E"/>
    <w:rsid w:val="00BE0FA5"/>
    <w:rsid w:val="00BE255E"/>
    <w:rsid w:val="00BE4252"/>
    <w:rsid w:val="00BF28CB"/>
    <w:rsid w:val="00BF358B"/>
    <w:rsid w:val="00BF6293"/>
    <w:rsid w:val="00BF7E54"/>
    <w:rsid w:val="00C01DB6"/>
    <w:rsid w:val="00C021C5"/>
    <w:rsid w:val="00C06ADA"/>
    <w:rsid w:val="00C07DF7"/>
    <w:rsid w:val="00C164BC"/>
    <w:rsid w:val="00C20B9E"/>
    <w:rsid w:val="00C2100E"/>
    <w:rsid w:val="00C2131B"/>
    <w:rsid w:val="00C266B1"/>
    <w:rsid w:val="00C31B19"/>
    <w:rsid w:val="00C31DA9"/>
    <w:rsid w:val="00C324A1"/>
    <w:rsid w:val="00C33651"/>
    <w:rsid w:val="00C343E7"/>
    <w:rsid w:val="00C34A34"/>
    <w:rsid w:val="00C3603E"/>
    <w:rsid w:val="00C40840"/>
    <w:rsid w:val="00C413B6"/>
    <w:rsid w:val="00C4184C"/>
    <w:rsid w:val="00C42C79"/>
    <w:rsid w:val="00C46F8A"/>
    <w:rsid w:val="00C519BD"/>
    <w:rsid w:val="00C529ED"/>
    <w:rsid w:val="00C561F8"/>
    <w:rsid w:val="00C575AE"/>
    <w:rsid w:val="00C6282C"/>
    <w:rsid w:val="00C70B2A"/>
    <w:rsid w:val="00C73801"/>
    <w:rsid w:val="00C7483B"/>
    <w:rsid w:val="00C74D5D"/>
    <w:rsid w:val="00C80259"/>
    <w:rsid w:val="00C817F3"/>
    <w:rsid w:val="00C87A91"/>
    <w:rsid w:val="00C92849"/>
    <w:rsid w:val="00C92C19"/>
    <w:rsid w:val="00C93F80"/>
    <w:rsid w:val="00C9615E"/>
    <w:rsid w:val="00C97FDD"/>
    <w:rsid w:val="00CA07F4"/>
    <w:rsid w:val="00CA2237"/>
    <w:rsid w:val="00CA7F80"/>
    <w:rsid w:val="00CB1E93"/>
    <w:rsid w:val="00CB2963"/>
    <w:rsid w:val="00CB298D"/>
    <w:rsid w:val="00CB3664"/>
    <w:rsid w:val="00CB4D56"/>
    <w:rsid w:val="00CB5AE7"/>
    <w:rsid w:val="00CB7D56"/>
    <w:rsid w:val="00CC076F"/>
    <w:rsid w:val="00CC4173"/>
    <w:rsid w:val="00CC53C3"/>
    <w:rsid w:val="00CC784D"/>
    <w:rsid w:val="00CD692A"/>
    <w:rsid w:val="00CE2356"/>
    <w:rsid w:val="00CE321D"/>
    <w:rsid w:val="00CE37C9"/>
    <w:rsid w:val="00CE4D76"/>
    <w:rsid w:val="00CE75D6"/>
    <w:rsid w:val="00CE79C3"/>
    <w:rsid w:val="00CE7B88"/>
    <w:rsid w:val="00CF1E8B"/>
    <w:rsid w:val="00CF3214"/>
    <w:rsid w:val="00CF6DC7"/>
    <w:rsid w:val="00D022E4"/>
    <w:rsid w:val="00D02706"/>
    <w:rsid w:val="00D04867"/>
    <w:rsid w:val="00D05753"/>
    <w:rsid w:val="00D10454"/>
    <w:rsid w:val="00D11D5D"/>
    <w:rsid w:val="00D20F8A"/>
    <w:rsid w:val="00D2308E"/>
    <w:rsid w:val="00D23F62"/>
    <w:rsid w:val="00D27C4E"/>
    <w:rsid w:val="00D34041"/>
    <w:rsid w:val="00D349D5"/>
    <w:rsid w:val="00D45DC4"/>
    <w:rsid w:val="00D46CC3"/>
    <w:rsid w:val="00D47562"/>
    <w:rsid w:val="00D5492F"/>
    <w:rsid w:val="00D56A3F"/>
    <w:rsid w:val="00D623BC"/>
    <w:rsid w:val="00D62CA4"/>
    <w:rsid w:val="00D62D15"/>
    <w:rsid w:val="00D6365D"/>
    <w:rsid w:val="00D65387"/>
    <w:rsid w:val="00D6623F"/>
    <w:rsid w:val="00D66BEF"/>
    <w:rsid w:val="00D6717D"/>
    <w:rsid w:val="00D703FC"/>
    <w:rsid w:val="00D724EE"/>
    <w:rsid w:val="00D728F2"/>
    <w:rsid w:val="00D735D4"/>
    <w:rsid w:val="00D7424C"/>
    <w:rsid w:val="00D76B1E"/>
    <w:rsid w:val="00D77A9A"/>
    <w:rsid w:val="00D77B23"/>
    <w:rsid w:val="00D80927"/>
    <w:rsid w:val="00D8149E"/>
    <w:rsid w:val="00D83C82"/>
    <w:rsid w:val="00D83E36"/>
    <w:rsid w:val="00D8432B"/>
    <w:rsid w:val="00D8605D"/>
    <w:rsid w:val="00D86FDC"/>
    <w:rsid w:val="00D87AA6"/>
    <w:rsid w:val="00D92A3A"/>
    <w:rsid w:val="00D95441"/>
    <w:rsid w:val="00D95C36"/>
    <w:rsid w:val="00DA1534"/>
    <w:rsid w:val="00DA436A"/>
    <w:rsid w:val="00DA5D3E"/>
    <w:rsid w:val="00DB000D"/>
    <w:rsid w:val="00DB05C6"/>
    <w:rsid w:val="00DB0E5A"/>
    <w:rsid w:val="00DB1585"/>
    <w:rsid w:val="00DB3958"/>
    <w:rsid w:val="00DC3892"/>
    <w:rsid w:val="00DC3D4F"/>
    <w:rsid w:val="00DC3DA6"/>
    <w:rsid w:val="00DC5456"/>
    <w:rsid w:val="00DC5899"/>
    <w:rsid w:val="00DC599E"/>
    <w:rsid w:val="00DC78A2"/>
    <w:rsid w:val="00DD466E"/>
    <w:rsid w:val="00DE3366"/>
    <w:rsid w:val="00DE4CD0"/>
    <w:rsid w:val="00DE57A8"/>
    <w:rsid w:val="00DF1B45"/>
    <w:rsid w:val="00DF2613"/>
    <w:rsid w:val="00DF4C1F"/>
    <w:rsid w:val="00DF59E1"/>
    <w:rsid w:val="00DF7E96"/>
    <w:rsid w:val="00E02D67"/>
    <w:rsid w:val="00E06E87"/>
    <w:rsid w:val="00E070E9"/>
    <w:rsid w:val="00E12FAE"/>
    <w:rsid w:val="00E15749"/>
    <w:rsid w:val="00E22802"/>
    <w:rsid w:val="00E244D9"/>
    <w:rsid w:val="00E24F01"/>
    <w:rsid w:val="00E279FB"/>
    <w:rsid w:val="00E3217E"/>
    <w:rsid w:val="00E37929"/>
    <w:rsid w:val="00E40811"/>
    <w:rsid w:val="00E465AF"/>
    <w:rsid w:val="00E504A0"/>
    <w:rsid w:val="00E50D3C"/>
    <w:rsid w:val="00E5469D"/>
    <w:rsid w:val="00E56B6C"/>
    <w:rsid w:val="00E572C3"/>
    <w:rsid w:val="00E60D57"/>
    <w:rsid w:val="00E71E23"/>
    <w:rsid w:val="00E74AA4"/>
    <w:rsid w:val="00E81585"/>
    <w:rsid w:val="00E8588B"/>
    <w:rsid w:val="00E859B5"/>
    <w:rsid w:val="00E86C08"/>
    <w:rsid w:val="00E87215"/>
    <w:rsid w:val="00E94FE9"/>
    <w:rsid w:val="00E95752"/>
    <w:rsid w:val="00EA4486"/>
    <w:rsid w:val="00EA4C80"/>
    <w:rsid w:val="00EA53EA"/>
    <w:rsid w:val="00EB1C9D"/>
    <w:rsid w:val="00EB22AC"/>
    <w:rsid w:val="00EB2E1A"/>
    <w:rsid w:val="00EB59CA"/>
    <w:rsid w:val="00EB75BB"/>
    <w:rsid w:val="00EC1669"/>
    <w:rsid w:val="00EC4A6F"/>
    <w:rsid w:val="00EC52FE"/>
    <w:rsid w:val="00EC5717"/>
    <w:rsid w:val="00EC6C61"/>
    <w:rsid w:val="00EC72E2"/>
    <w:rsid w:val="00ED0798"/>
    <w:rsid w:val="00ED09A2"/>
    <w:rsid w:val="00ED0DA4"/>
    <w:rsid w:val="00ED1475"/>
    <w:rsid w:val="00ED17F2"/>
    <w:rsid w:val="00ED1A01"/>
    <w:rsid w:val="00ED252B"/>
    <w:rsid w:val="00ED2FD7"/>
    <w:rsid w:val="00ED30EF"/>
    <w:rsid w:val="00ED7499"/>
    <w:rsid w:val="00ED7E9B"/>
    <w:rsid w:val="00EF2965"/>
    <w:rsid w:val="00EF3306"/>
    <w:rsid w:val="00EF5288"/>
    <w:rsid w:val="00EF77A7"/>
    <w:rsid w:val="00F0051F"/>
    <w:rsid w:val="00F025CB"/>
    <w:rsid w:val="00F040FE"/>
    <w:rsid w:val="00F0487B"/>
    <w:rsid w:val="00F054C5"/>
    <w:rsid w:val="00F05657"/>
    <w:rsid w:val="00F060F4"/>
    <w:rsid w:val="00F06E7C"/>
    <w:rsid w:val="00F1173D"/>
    <w:rsid w:val="00F13BA3"/>
    <w:rsid w:val="00F13C39"/>
    <w:rsid w:val="00F240AA"/>
    <w:rsid w:val="00F24A8A"/>
    <w:rsid w:val="00F27970"/>
    <w:rsid w:val="00F311BF"/>
    <w:rsid w:val="00F319B1"/>
    <w:rsid w:val="00F34109"/>
    <w:rsid w:val="00F349AA"/>
    <w:rsid w:val="00F35924"/>
    <w:rsid w:val="00F37627"/>
    <w:rsid w:val="00F44765"/>
    <w:rsid w:val="00F47C72"/>
    <w:rsid w:val="00F5059C"/>
    <w:rsid w:val="00F55756"/>
    <w:rsid w:val="00F57A5D"/>
    <w:rsid w:val="00F64E77"/>
    <w:rsid w:val="00F67FC0"/>
    <w:rsid w:val="00F7128B"/>
    <w:rsid w:val="00F71B60"/>
    <w:rsid w:val="00F74140"/>
    <w:rsid w:val="00F756E5"/>
    <w:rsid w:val="00F75AA3"/>
    <w:rsid w:val="00F76F9C"/>
    <w:rsid w:val="00F77F9F"/>
    <w:rsid w:val="00F80361"/>
    <w:rsid w:val="00F805B3"/>
    <w:rsid w:val="00F8073F"/>
    <w:rsid w:val="00F81A99"/>
    <w:rsid w:val="00F844C8"/>
    <w:rsid w:val="00F8541F"/>
    <w:rsid w:val="00F907AE"/>
    <w:rsid w:val="00F94475"/>
    <w:rsid w:val="00F95A9C"/>
    <w:rsid w:val="00FA1D12"/>
    <w:rsid w:val="00FA2C8D"/>
    <w:rsid w:val="00FA52B5"/>
    <w:rsid w:val="00FA5BE1"/>
    <w:rsid w:val="00FA6EB5"/>
    <w:rsid w:val="00FA6FBB"/>
    <w:rsid w:val="00FB509B"/>
    <w:rsid w:val="00FC1EF6"/>
    <w:rsid w:val="00FC24C7"/>
    <w:rsid w:val="00FC3BD8"/>
    <w:rsid w:val="00FC53C6"/>
    <w:rsid w:val="00FD161E"/>
    <w:rsid w:val="00FD6829"/>
    <w:rsid w:val="00FE0BA8"/>
    <w:rsid w:val="00FE0F0D"/>
    <w:rsid w:val="00FE1218"/>
    <w:rsid w:val="00FE6826"/>
    <w:rsid w:val="00FE7053"/>
    <w:rsid w:val="00FF08D6"/>
    <w:rsid w:val="00FF33D1"/>
    <w:rsid w:val="00FF7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582"/>
    <w:pPr>
      <w:spacing w:after="0" w:line="240" w:lineRule="auto"/>
    </w:pPr>
    <w:rPr>
      <w:rFonts w:ascii="Times New Roman" w:eastAsia="MS Mincho" w:hAnsi="Times New Roman" w:cs="Times New Roman"/>
      <w:sz w:val="24"/>
      <w:szCs w:val="24"/>
      <w:lang w:val="uk-U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2AF2"/>
    <w:pPr>
      <w:tabs>
        <w:tab w:val="center" w:pos="4677"/>
        <w:tab w:val="right" w:pos="9355"/>
      </w:tabs>
    </w:pPr>
  </w:style>
  <w:style w:type="character" w:customStyle="1" w:styleId="a4">
    <w:name w:val="Верхний колонтитул Знак"/>
    <w:basedOn w:val="a0"/>
    <w:link w:val="a3"/>
    <w:uiPriority w:val="99"/>
    <w:semiHidden/>
    <w:rsid w:val="00B62AF2"/>
    <w:rPr>
      <w:rFonts w:ascii="Times New Roman" w:eastAsia="MS Mincho" w:hAnsi="Times New Roman" w:cs="Times New Roman"/>
      <w:sz w:val="24"/>
      <w:szCs w:val="24"/>
      <w:lang w:val="uk-UA" w:eastAsia="ja-JP"/>
    </w:rPr>
  </w:style>
  <w:style w:type="paragraph" w:styleId="a5">
    <w:name w:val="footer"/>
    <w:basedOn w:val="a"/>
    <w:link w:val="a6"/>
    <w:uiPriority w:val="99"/>
    <w:semiHidden/>
    <w:unhideWhenUsed/>
    <w:rsid w:val="00B62AF2"/>
    <w:pPr>
      <w:tabs>
        <w:tab w:val="center" w:pos="4677"/>
        <w:tab w:val="right" w:pos="9355"/>
      </w:tabs>
    </w:pPr>
  </w:style>
  <w:style w:type="character" w:customStyle="1" w:styleId="a6">
    <w:name w:val="Нижний колонтитул Знак"/>
    <w:basedOn w:val="a0"/>
    <w:link w:val="a5"/>
    <w:uiPriority w:val="99"/>
    <w:semiHidden/>
    <w:rsid w:val="00B62AF2"/>
    <w:rPr>
      <w:rFonts w:ascii="Times New Roman" w:eastAsia="MS Mincho" w:hAnsi="Times New Roman" w:cs="Times New Roman"/>
      <w:sz w:val="24"/>
      <w:szCs w:val="24"/>
      <w:lang w:val="uk-UA" w:eastAsia="ja-JP"/>
    </w:rPr>
  </w:style>
  <w:style w:type="paragraph" w:styleId="HTML">
    <w:name w:val="HTML Preformatted"/>
    <w:basedOn w:val="a"/>
    <w:link w:val="HTML0"/>
    <w:uiPriority w:val="99"/>
    <w:unhideWhenUsed/>
    <w:rsid w:val="00B62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B62AF2"/>
    <w:rPr>
      <w:rFonts w:ascii="Courier New" w:eastAsia="Times New Roman" w:hAnsi="Courier New" w:cs="Courier New"/>
      <w:sz w:val="20"/>
      <w:szCs w:val="20"/>
      <w:lang w:eastAsia="ru-RU"/>
    </w:rPr>
  </w:style>
  <w:style w:type="character" w:styleId="a7">
    <w:name w:val="Hyperlink"/>
    <w:basedOn w:val="a0"/>
    <w:uiPriority w:val="99"/>
    <w:semiHidden/>
    <w:unhideWhenUsed/>
    <w:rsid w:val="00DF4C1F"/>
    <w:rPr>
      <w:color w:val="0000FF"/>
      <w:u w:val="single"/>
    </w:rPr>
  </w:style>
  <w:style w:type="paragraph" w:styleId="a8">
    <w:name w:val="List Paragraph"/>
    <w:basedOn w:val="a"/>
    <w:uiPriority w:val="34"/>
    <w:qFormat/>
    <w:rsid w:val="00290D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582"/>
    <w:pPr>
      <w:spacing w:after="0" w:line="240" w:lineRule="auto"/>
    </w:pPr>
    <w:rPr>
      <w:rFonts w:ascii="Times New Roman" w:eastAsia="MS Mincho" w:hAnsi="Times New Roman" w:cs="Times New Roman"/>
      <w:sz w:val="24"/>
      <w:szCs w:val="24"/>
      <w:lang w:val="uk-UA"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2AF2"/>
    <w:pPr>
      <w:tabs>
        <w:tab w:val="center" w:pos="4677"/>
        <w:tab w:val="right" w:pos="9355"/>
      </w:tabs>
    </w:pPr>
  </w:style>
  <w:style w:type="character" w:customStyle="1" w:styleId="a4">
    <w:name w:val="Верхний колонтитул Знак"/>
    <w:basedOn w:val="a0"/>
    <w:link w:val="a3"/>
    <w:uiPriority w:val="99"/>
    <w:semiHidden/>
    <w:rsid w:val="00B62AF2"/>
    <w:rPr>
      <w:rFonts w:ascii="Times New Roman" w:eastAsia="MS Mincho" w:hAnsi="Times New Roman" w:cs="Times New Roman"/>
      <w:sz w:val="24"/>
      <w:szCs w:val="24"/>
      <w:lang w:val="uk-UA" w:eastAsia="ja-JP"/>
    </w:rPr>
  </w:style>
  <w:style w:type="paragraph" w:styleId="a5">
    <w:name w:val="footer"/>
    <w:basedOn w:val="a"/>
    <w:link w:val="a6"/>
    <w:uiPriority w:val="99"/>
    <w:semiHidden/>
    <w:unhideWhenUsed/>
    <w:rsid w:val="00B62AF2"/>
    <w:pPr>
      <w:tabs>
        <w:tab w:val="center" w:pos="4677"/>
        <w:tab w:val="right" w:pos="9355"/>
      </w:tabs>
    </w:pPr>
  </w:style>
  <w:style w:type="character" w:customStyle="1" w:styleId="a6">
    <w:name w:val="Нижний колонтитул Знак"/>
    <w:basedOn w:val="a0"/>
    <w:link w:val="a5"/>
    <w:uiPriority w:val="99"/>
    <w:semiHidden/>
    <w:rsid w:val="00B62AF2"/>
    <w:rPr>
      <w:rFonts w:ascii="Times New Roman" w:eastAsia="MS Mincho" w:hAnsi="Times New Roman" w:cs="Times New Roman"/>
      <w:sz w:val="24"/>
      <w:szCs w:val="24"/>
      <w:lang w:val="uk-UA" w:eastAsia="ja-JP"/>
    </w:rPr>
  </w:style>
  <w:style w:type="paragraph" w:styleId="HTML">
    <w:name w:val="HTML Preformatted"/>
    <w:basedOn w:val="a"/>
    <w:link w:val="HTML0"/>
    <w:uiPriority w:val="99"/>
    <w:unhideWhenUsed/>
    <w:rsid w:val="00B62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B62AF2"/>
    <w:rPr>
      <w:rFonts w:ascii="Courier New" w:eastAsia="Times New Roman" w:hAnsi="Courier New" w:cs="Courier New"/>
      <w:sz w:val="20"/>
      <w:szCs w:val="20"/>
      <w:lang w:eastAsia="ru-RU"/>
    </w:rPr>
  </w:style>
  <w:style w:type="character" w:styleId="a7">
    <w:name w:val="Hyperlink"/>
    <w:basedOn w:val="a0"/>
    <w:uiPriority w:val="99"/>
    <w:semiHidden/>
    <w:unhideWhenUsed/>
    <w:rsid w:val="00DF4C1F"/>
    <w:rPr>
      <w:color w:val="0000FF"/>
      <w:u w:val="single"/>
    </w:rPr>
  </w:style>
  <w:style w:type="paragraph" w:styleId="a8">
    <w:name w:val="List Paragraph"/>
    <w:basedOn w:val="a"/>
    <w:uiPriority w:val="34"/>
    <w:qFormat/>
    <w:rsid w:val="00290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1419">
      <w:bodyDiv w:val="1"/>
      <w:marLeft w:val="0"/>
      <w:marRight w:val="0"/>
      <w:marTop w:val="0"/>
      <w:marBottom w:val="0"/>
      <w:divBdr>
        <w:top w:val="none" w:sz="0" w:space="0" w:color="auto"/>
        <w:left w:val="none" w:sz="0" w:space="0" w:color="auto"/>
        <w:bottom w:val="none" w:sz="0" w:space="0" w:color="auto"/>
        <w:right w:val="none" w:sz="0" w:space="0" w:color="auto"/>
      </w:divBdr>
    </w:div>
    <w:div w:id="55208864">
      <w:bodyDiv w:val="1"/>
      <w:marLeft w:val="0"/>
      <w:marRight w:val="0"/>
      <w:marTop w:val="0"/>
      <w:marBottom w:val="0"/>
      <w:divBdr>
        <w:top w:val="none" w:sz="0" w:space="0" w:color="auto"/>
        <w:left w:val="none" w:sz="0" w:space="0" w:color="auto"/>
        <w:bottom w:val="none" w:sz="0" w:space="0" w:color="auto"/>
        <w:right w:val="none" w:sz="0" w:space="0" w:color="auto"/>
      </w:divBdr>
    </w:div>
    <w:div w:id="87311653">
      <w:bodyDiv w:val="1"/>
      <w:marLeft w:val="0"/>
      <w:marRight w:val="0"/>
      <w:marTop w:val="0"/>
      <w:marBottom w:val="0"/>
      <w:divBdr>
        <w:top w:val="none" w:sz="0" w:space="0" w:color="auto"/>
        <w:left w:val="none" w:sz="0" w:space="0" w:color="auto"/>
        <w:bottom w:val="none" w:sz="0" w:space="0" w:color="auto"/>
        <w:right w:val="none" w:sz="0" w:space="0" w:color="auto"/>
      </w:divBdr>
    </w:div>
    <w:div w:id="91438778">
      <w:bodyDiv w:val="1"/>
      <w:marLeft w:val="0"/>
      <w:marRight w:val="0"/>
      <w:marTop w:val="0"/>
      <w:marBottom w:val="0"/>
      <w:divBdr>
        <w:top w:val="none" w:sz="0" w:space="0" w:color="auto"/>
        <w:left w:val="none" w:sz="0" w:space="0" w:color="auto"/>
        <w:bottom w:val="none" w:sz="0" w:space="0" w:color="auto"/>
        <w:right w:val="none" w:sz="0" w:space="0" w:color="auto"/>
      </w:divBdr>
    </w:div>
    <w:div w:id="94329549">
      <w:bodyDiv w:val="1"/>
      <w:marLeft w:val="0"/>
      <w:marRight w:val="0"/>
      <w:marTop w:val="0"/>
      <w:marBottom w:val="0"/>
      <w:divBdr>
        <w:top w:val="none" w:sz="0" w:space="0" w:color="auto"/>
        <w:left w:val="none" w:sz="0" w:space="0" w:color="auto"/>
        <w:bottom w:val="none" w:sz="0" w:space="0" w:color="auto"/>
        <w:right w:val="none" w:sz="0" w:space="0" w:color="auto"/>
      </w:divBdr>
    </w:div>
    <w:div w:id="123163691">
      <w:bodyDiv w:val="1"/>
      <w:marLeft w:val="0"/>
      <w:marRight w:val="0"/>
      <w:marTop w:val="0"/>
      <w:marBottom w:val="0"/>
      <w:divBdr>
        <w:top w:val="none" w:sz="0" w:space="0" w:color="auto"/>
        <w:left w:val="none" w:sz="0" w:space="0" w:color="auto"/>
        <w:bottom w:val="none" w:sz="0" w:space="0" w:color="auto"/>
        <w:right w:val="none" w:sz="0" w:space="0" w:color="auto"/>
      </w:divBdr>
    </w:div>
    <w:div w:id="162400352">
      <w:bodyDiv w:val="1"/>
      <w:marLeft w:val="0"/>
      <w:marRight w:val="0"/>
      <w:marTop w:val="0"/>
      <w:marBottom w:val="0"/>
      <w:divBdr>
        <w:top w:val="none" w:sz="0" w:space="0" w:color="auto"/>
        <w:left w:val="none" w:sz="0" w:space="0" w:color="auto"/>
        <w:bottom w:val="none" w:sz="0" w:space="0" w:color="auto"/>
        <w:right w:val="none" w:sz="0" w:space="0" w:color="auto"/>
      </w:divBdr>
    </w:div>
    <w:div w:id="167407077">
      <w:bodyDiv w:val="1"/>
      <w:marLeft w:val="0"/>
      <w:marRight w:val="0"/>
      <w:marTop w:val="0"/>
      <w:marBottom w:val="0"/>
      <w:divBdr>
        <w:top w:val="none" w:sz="0" w:space="0" w:color="auto"/>
        <w:left w:val="none" w:sz="0" w:space="0" w:color="auto"/>
        <w:bottom w:val="none" w:sz="0" w:space="0" w:color="auto"/>
        <w:right w:val="none" w:sz="0" w:space="0" w:color="auto"/>
      </w:divBdr>
    </w:div>
    <w:div w:id="175929616">
      <w:bodyDiv w:val="1"/>
      <w:marLeft w:val="0"/>
      <w:marRight w:val="0"/>
      <w:marTop w:val="0"/>
      <w:marBottom w:val="0"/>
      <w:divBdr>
        <w:top w:val="none" w:sz="0" w:space="0" w:color="auto"/>
        <w:left w:val="none" w:sz="0" w:space="0" w:color="auto"/>
        <w:bottom w:val="none" w:sz="0" w:space="0" w:color="auto"/>
        <w:right w:val="none" w:sz="0" w:space="0" w:color="auto"/>
      </w:divBdr>
    </w:div>
    <w:div w:id="189729557">
      <w:bodyDiv w:val="1"/>
      <w:marLeft w:val="0"/>
      <w:marRight w:val="0"/>
      <w:marTop w:val="0"/>
      <w:marBottom w:val="0"/>
      <w:divBdr>
        <w:top w:val="none" w:sz="0" w:space="0" w:color="auto"/>
        <w:left w:val="none" w:sz="0" w:space="0" w:color="auto"/>
        <w:bottom w:val="none" w:sz="0" w:space="0" w:color="auto"/>
        <w:right w:val="none" w:sz="0" w:space="0" w:color="auto"/>
      </w:divBdr>
    </w:div>
    <w:div w:id="249508951">
      <w:bodyDiv w:val="1"/>
      <w:marLeft w:val="0"/>
      <w:marRight w:val="0"/>
      <w:marTop w:val="0"/>
      <w:marBottom w:val="0"/>
      <w:divBdr>
        <w:top w:val="none" w:sz="0" w:space="0" w:color="auto"/>
        <w:left w:val="none" w:sz="0" w:space="0" w:color="auto"/>
        <w:bottom w:val="none" w:sz="0" w:space="0" w:color="auto"/>
        <w:right w:val="none" w:sz="0" w:space="0" w:color="auto"/>
      </w:divBdr>
    </w:div>
    <w:div w:id="250436453">
      <w:bodyDiv w:val="1"/>
      <w:marLeft w:val="0"/>
      <w:marRight w:val="0"/>
      <w:marTop w:val="0"/>
      <w:marBottom w:val="0"/>
      <w:divBdr>
        <w:top w:val="none" w:sz="0" w:space="0" w:color="auto"/>
        <w:left w:val="none" w:sz="0" w:space="0" w:color="auto"/>
        <w:bottom w:val="none" w:sz="0" w:space="0" w:color="auto"/>
        <w:right w:val="none" w:sz="0" w:space="0" w:color="auto"/>
      </w:divBdr>
    </w:div>
    <w:div w:id="264074731">
      <w:bodyDiv w:val="1"/>
      <w:marLeft w:val="0"/>
      <w:marRight w:val="0"/>
      <w:marTop w:val="0"/>
      <w:marBottom w:val="0"/>
      <w:divBdr>
        <w:top w:val="none" w:sz="0" w:space="0" w:color="auto"/>
        <w:left w:val="none" w:sz="0" w:space="0" w:color="auto"/>
        <w:bottom w:val="none" w:sz="0" w:space="0" w:color="auto"/>
        <w:right w:val="none" w:sz="0" w:space="0" w:color="auto"/>
      </w:divBdr>
    </w:div>
    <w:div w:id="284625940">
      <w:bodyDiv w:val="1"/>
      <w:marLeft w:val="0"/>
      <w:marRight w:val="0"/>
      <w:marTop w:val="0"/>
      <w:marBottom w:val="0"/>
      <w:divBdr>
        <w:top w:val="none" w:sz="0" w:space="0" w:color="auto"/>
        <w:left w:val="none" w:sz="0" w:space="0" w:color="auto"/>
        <w:bottom w:val="none" w:sz="0" w:space="0" w:color="auto"/>
        <w:right w:val="none" w:sz="0" w:space="0" w:color="auto"/>
      </w:divBdr>
    </w:div>
    <w:div w:id="327946520">
      <w:bodyDiv w:val="1"/>
      <w:marLeft w:val="0"/>
      <w:marRight w:val="0"/>
      <w:marTop w:val="0"/>
      <w:marBottom w:val="0"/>
      <w:divBdr>
        <w:top w:val="none" w:sz="0" w:space="0" w:color="auto"/>
        <w:left w:val="none" w:sz="0" w:space="0" w:color="auto"/>
        <w:bottom w:val="none" w:sz="0" w:space="0" w:color="auto"/>
        <w:right w:val="none" w:sz="0" w:space="0" w:color="auto"/>
      </w:divBdr>
    </w:div>
    <w:div w:id="334651345">
      <w:bodyDiv w:val="1"/>
      <w:marLeft w:val="0"/>
      <w:marRight w:val="0"/>
      <w:marTop w:val="0"/>
      <w:marBottom w:val="0"/>
      <w:divBdr>
        <w:top w:val="none" w:sz="0" w:space="0" w:color="auto"/>
        <w:left w:val="none" w:sz="0" w:space="0" w:color="auto"/>
        <w:bottom w:val="none" w:sz="0" w:space="0" w:color="auto"/>
        <w:right w:val="none" w:sz="0" w:space="0" w:color="auto"/>
      </w:divBdr>
    </w:div>
    <w:div w:id="347483557">
      <w:bodyDiv w:val="1"/>
      <w:marLeft w:val="0"/>
      <w:marRight w:val="0"/>
      <w:marTop w:val="0"/>
      <w:marBottom w:val="0"/>
      <w:divBdr>
        <w:top w:val="none" w:sz="0" w:space="0" w:color="auto"/>
        <w:left w:val="none" w:sz="0" w:space="0" w:color="auto"/>
        <w:bottom w:val="none" w:sz="0" w:space="0" w:color="auto"/>
        <w:right w:val="none" w:sz="0" w:space="0" w:color="auto"/>
      </w:divBdr>
    </w:div>
    <w:div w:id="353505047">
      <w:bodyDiv w:val="1"/>
      <w:marLeft w:val="0"/>
      <w:marRight w:val="0"/>
      <w:marTop w:val="0"/>
      <w:marBottom w:val="0"/>
      <w:divBdr>
        <w:top w:val="none" w:sz="0" w:space="0" w:color="auto"/>
        <w:left w:val="none" w:sz="0" w:space="0" w:color="auto"/>
        <w:bottom w:val="none" w:sz="0" w:space="0" w:color="auto"/>
        <w:right w:val="none" w:sz="0" w:space="0" w:color="auto"/>
      </w:divBdr>
    </w:div>
    <w:div w:id="373165000">
      <w:bodyDiv w:val="1"/>
      <w:marLeft w:val="0"/>
      <w:marRight w:val="0"/>
      <w:marTop w:val="0"/>
      <w:marBottom w:val="0"/>
      <w:divBdr>
        <w:top w:val="none" w:sz="0" w:space="0" w:color="auto"/>
        <w:left w:val="none" w:sz="0" w:space="0" w:color="auto"/>
        <w:bottom w:val="none" w:sz="0" w:space="0" w:color="auto"/>
        <w:right w:val="none" w:sz="0" w:space="0" w:color="auto"/>
      </w:divBdr>
    </w:div>
    <w:div w:id="390467183">
      <w:bodyDiv w:val="1"/>
      <w:marLeft w:val="0"/>
      <w:marRight w:val="0"/>
      <w:marTop w:val="0"/>
      <w:marBottom w:val="0"/>
      <w:divBdr>
        <w:top w:val="none" w:sz="0" w:space="0" w:color="auto"/>
        <w:left w:val="none" w:sz="0" w:space="0" w:color="auto"/>
        <w:bottom w:val="none" w:sz="0" w:space="0" w:color="auto"/>
        <w:right w:val="none" w:sz="0" w:space="0" w:color="auto"/>
      </w:divBdr>
    </w:div>
    <w:div w:id="409929235">
      <w:bodyDiv w:val="1"/>
      <w:marLeft w:val="0"/>
      <w:marRight w:val="0"/>
      <w:marTop w:val="0"/>
      <w:marBottom w:val="0"/>
      <w:divBdr>
        <w:top w:val="none" w:sz="0" w:space="0" w:color="auto"/>
        <w:left w:val="none" w:sz="0" w:space="0" w:color="auto"/>
        <w:bottom w:val="none" w:sz="0" w:space="0" w:color="auto"/>
        <w:right w:val="none" w:sz="0" w:space="0" w:color="auto"/>
      </w:divBdr>
    </w:div>
    <w:div w:id="417824406">
      <w:bodyDiv w:val="1"/>
      <w:marLeft w:val="0"/>
      <w:marRight w:val="0"/>
      <w:marTop w:val="0"/>
      <w:marBottom w:val="0"/>
      <w:divBdr>
        <w:top w:val="none" w:sz="0" w:space="0" w:color="auto"/>
        <w:left w:val="none" w:sz="0" w:space="0" w:color="auto"/>
        <w:bottom w:val="none" w:sz="0" w:space="0" w:color="auto"/>
        <w:right w:val="none" w:sz="0" w:space="0" w:color="auto"/>
      </w:divBdr>
    </w:div>
    <w:div w:id="421878898">
      <w:bodyDiv w:val="1"/>
      <w:marLeft w:val="0"/>
      <w:marRight w:val="0"/>
      <w:marTop w:val="0"/>
      <w:marBottom w:val="0"/>
      <w:divBdr>
        <w:top w:val="none" w:sz="0" w:space="0" w:color="auto"/>
        <w:left w:val="none" w:sz="0" w:space="0" w:color="auto"/>
        <w:bottom w:val="none" w:sz="0" w:space="0" w:color="auto"/>
        <w:right w:val="none" w:sz="0" w:space="0" w:color="auto"/>
      </w:divBdr>
    </w:div>
    <w:div w:id="434403738">
      <w:bodyDiv w:val="1"/>
      <w:marLeft w:val="0"/>
      <w:marRight w:val="0"/>
      <w:marTop w:val="0"/>
      <w:marBottom w:val="0"/>
      <w:divBdr>
        <w:top w:val="none" w:sz="0" w:space="0" w:color="auto"/>
        <w:left w:val="none" w:sz="0" w:space="0" w:color="auto"/>
        <w:bottom w:val="none" w:sz="0" w:space="0" w:color="auto"/>
        <w:right w:val="none" w:sz="0" w:space="0" w:color="auto"/>
      </w:divBdr>
    </w:div>
    <w:div w:id="457459784">
      <w:bodyDiv w:val="1"/>
      <w:marLeft w:val="0"/>
      <w:marRight w:val="0"/>
      <w:marTop w:val="0"/>
      <w:marBottom w:val="0"/>
      <w:divBdr>
        <w:top w:val="none" w:sz="0" w:space="0" w:color="auto"/>
        <w:left w:val="none" w:sz="0" w:space="0" w:color="auto"/>
        <w:bottom w:val="none" w:sz="0" w:space="0" w:color="auto"/>
        <w:right w:val="none" w:sz="0" w:space="0" w:color="auto"/>
      </w:divBdr>
    </w:div>
    <w:div w:id="462381596">
      <w:bodyDiv w:val="1"/>
      <w:marLeft w:val="0"/>
      <w:marRight w:val="0"/>
      <w:marTop w:val="0"/>
      <w:marBottom w:val="0"/>
      <w:divBdr>
        <w:top w:val="none" w:sz="0" w:space="0" w:color="auto"/>
        <w:left w:val="none" w:sz="0" w:space="0" w:color="auto"/>
        <w:bottom w:val="none" w:sz="0" w:space="0" w:color="auto"/>
        <w:right w:val="none" w:sz="0" w:space="0" w:color="auto"/>
      </w:divBdr>
    </w:div>
    <w:div w:id="523440637">
      <w:bodyDiv w:val="1"/>
      <w:marLeft w:val="0"/>
      <w:marRight w:val="0"/>
      <w:marTop w:val="0"/>
      <w:marBottom w:val="0"/>
      <w:divBdr>
        <w:top w:val="none" w:sz="0" w:space="0" w:color="auto"/>
        <w:left w:val="none" w:sz="0" w:space="0" w:color="auto"/>
        <w:bottom w:val="none" w:sz="0" w:space="0" w:color="auto"/>
        <w:right w:val="none" w:sz="0" w:space="0" w:color="auto"/>
      </w:divBdr>
    </w:div>
    <w:div w:id="524949190">
      <w:bodyDiv w:val="1"/>
      <w:marLeft w:val="0"/>
      <w:marRight w:val="0"/>
      <w:marTop w:val="0"/>
      <w:marBottom w:val="0"/>
      <w:divBdr>
        <w:top w:val="none" w:sz="0" w:space="0" w:color="auto"/>
        <w:left w:val="none" w:sz="0" w:space="0" w:color="auto"/>
        <w:bottom w:val="none" w:sz="0" w:space="0" w:color="auto"/>
        <w:right w:val="none" w:sz="0" w:space="0" w:color="auto"/>
      </w:divBdr>
    </w:div>
    <w:div w:id="532183695">
      <w:bodyDiv w:val="1"/>
      <w:marLeft w:val="0"/>
      <w:marRight w:val="0"/>
      <w:marTop w:val="0"/>
      <w:marBottom w:val="0"/>
      <w:divBdr>
        <w:top w:val="none" w:sz="0" w:space="0" w:color="auto"/>
        <w:left w:val="none" w:sz="0" w:space="0" w:color="auto"/>
        <w:bottom w:val="none" w:sz="0" w:space="0" w:color="auto"/>
        <w:right w:val="none" w:sz="0" w:space="0" w:color="auto"/>
      </w:divBdr>
    </w:div>
    <w:div w:id="539509795">
      <w:bodyDiv w:val="1"/>
      <w:marLeft w:val="0"/>
      <w:marRight w:val="0"/>
      <w:marTop w:val="0"/>
      <w:marBottom w:val="0"/>
      <w:divBdr>
        <w:top w:val="none" w:sz="0" w:space="0" w:color="auto"/>
        <w:left w:val="none" w:sz="0" w:space="0" w:color="auto"/>
        <w:bottom w:val="none" w:sz="0" w:space="0" w:color="auto"/>
        <w:right w:val="none" w:sz="0" w:space="0" w:color="auto"/>
      </w:divBdr>
    </w:div>
    <w:div w:id="559100535">
      <w:bodyDiv w:val="1"/>
      <w:marLeft w:val="0"/>
      <w:marRight w:val="0"/>
      <w:marTop w:val="0"/>
      <w:marBottom w:val="0"/>
      <w:divBdr>
        <w:top w:val="none" w:sz="0" w:space="0" w:color="auto"/>
        <w:left w:val="none" w:sz="0" w:space="0" w:color="auto"/>
        <w:bottom w:val="none" w:sz="0" w:space="0" w:color="auto"/>
        <w:right w:val="none" w:sz="0" w:space="0" w:color="auto"/>
      </w:divBdr>
    </w:div>
    <w:div w:id="569073464">
      <w:bodyDiv w:val="1"/>
      <w:marLeft w:val="0"/>
      <w:marRight w:val="0"/>
      <w:marTop w:val="0"/>
      <w:marBottom w:val="0"/>
      <w:divBdr>
        <w:top w:val="none" w:sz="0" w:space="0" w:color="auto"/>
        <w:left w:val="none" w:sz="0" w:space="0" w:color="auto"/>
        <w:bottom w:val="none" w:sz="0" w:space="0" w:color="auto"/>
        <w:right w:val="none" w:sz="0" w:space="0" w:color="auto"/>
      </w:divBdr>
    </w:div>
    <w:div w:id="594175305">
      <w:bodyDiv w:val="1"/>
      <w:marLeft w:val="0"/>
      <w:marRight w:val="0"/>
      <w:marTop w:val="0"/>
      <w:marBottom w:val="0"/>
      <w:divBdr>
        <w:top w:val="none" w:sz="0" w:space="0" w:color="auto"/>
        <w:left w:val="none" w:sz="0" w:space="0" w:color="auto"/>
        <w:bottom w:val="none" w:sz="0" w:space="0" w:color="auto"/>
        <w:right w:val="none" w:sz="0" w:space="0" w:color="auto"/>
      </w:divBdr>
    </w:div>
    <w:div w:id="641957740">
      <w:bodyDiv w:val="1"/>
      <w:marLeft w:val="0"/>
      <w:marRight w:val="0"/>
      <w:marTop w:val="0"/>
      <w:marBottom w:val="0"/>
      <w:divBdr>
        <w:top w:val="none" w:sz="0" w:space="0" w:color="auto"/>
        <w:left w:val="none" w:sz="0" w:space="0" w:color="auto"/>
        <w:bottom w:val="none" w:sz="0" w:space="0" w:color="auto"/>
        <w:right w:val="none" w:sz="0" w:space="0" w:color="auto"/>
      </w:divBdr>
    </w:div>
    <w:div w:id="660502474">
      <w:bodyDiv w:val="1"/>
      <w:marLeft w:val="0"/>
      <w:marRight w:val="0"/>
      <w:marTop w:val="0"/>
      <w:marBottom w:val="0"/>
      <w:divBdr>
        <w:top w:val="none" w:sz="0" w:space="0" w:color="auto"/>
        <w:left w:val="none" w:sz="0" w:space="0" w:color="auto"/>
        <w:bottom w:val="none" w:sz="0" w:space="0" w:color="auto"/>
        <w:right w:val="none" w:sz="0" w:space="0" w:color="auto"/>
      </w:divBdr>
    </w:div>
    <w:div w:id="667177585">
      <w:bodyDiv w:val="1"/>
      <w:marLeft w:val="0"/>
      <w:marRight w:val="0"/>
      <w:marTop w:val="0"/>
      <w:marBottom w:val="0"/>
      <w:divBdr>
        <w:top w:val="none" w:sz="0" w:space="0" w:color="auto"/>
        <w:left w:val="none" w:sz="0" w:space="0" w:color="auto"/>
        <w:bottom w:val="none" w:sz="0" w:space="0" w:color="auto"/>
        <w:right w:val="none" w:sz="0" w:space="0" w:color="auto"/>
      </w:divBdr>
    </w:div>
    <w:div w:id="680859391">
      <w:bodyDiv w:val="1"/>
      <w:marLeft w:val="0"/>
      <w:marRight w:val="0"/>
      <w:marTop w:val="0"/>
      <w:marBottom w:val="0"/>
      <w:divBdr>
        <w:top w:val="none" w:sz="0" w:space="0" w:color="auto"/>
        <w:left w:val="none" w:sz="0" w:space="0" w:color="auto"/>
        <w:bottom w:val="none" w:sz="0" w:space="0" w:color="auto"/>
        <w:right w:val="none" w:sz="0" w:space="0" w:color="auto"/>
      </w:divBdr>
    </w:div>
    <w:div w:id="683480911">
      <w:bodyDiv w:val="1"/>
      <w:marLeft w:val="0"/>
      <w:marRight w:val="0"/>
      <w:marTop w:val="0"/>
      <w:marBottom w:val="0"/>
      <w:divBdr>
        <w:top w:val="none" w:sz="0" w:space="0" w:color="auto"/>
        <w:left w:val="none" w:sz="0" w:space="0" w:color="auto"/>
        <w:bottom w:val="none" w:sz="0" w:space="0" w:color="auto"/>
        <w:right w:val="none" w:sz="0" w:space="0" w:color="auto"/>
      </w:divBdr>
    </w:div>
    <w:div w:id="704212725">
      <w:bodyDiv w:val="1"/>
      <w:marLeft w:val="0"/>
      <w:marRight w:val="0"/>
      <w:marTop w:val="0"/>
      <w:marBottom w:val="0"/>
      <w:divBdr>
        <w:top w:val="none" w:sz="0" w:space="0" w:color="auto"/>
        <w:left w:val="none" w:sz="0" w:space="0" w:color="auto"/>
        <w:bottom w:val="none" w:sz="0" w:space="0" w:color="auto"/>
        <w:right w:val="none" w:sz="0" w:space="0" w:color="auto"/>
      </w:divBdr>
    </w:div>
    <w:div w:id="717976365">
      <w:bodyDiv w:val="1"/>
      <w:marLeft w:val="0"/>
      <w:marRight w:val="0"/>
      <w:marTop w:val="0"/>
      <w:marBottom w:val="0"/>
      <w:divBdr>
        <w:top w:val="none" w:sz="0" w:space="0" w:color="auto"/>
        <w:left w:val="none" w:sz="0" w:space="0" w:color="auto"/>
        <w:bottom w:val="none" w:sz="0" w:space="0" w:color="auto"/>
        <w:right w:val="none" w:sz="0" w:space="0" w:color="auto"/>
      </w:divBdr>
    </w:div>
    <w:div w:id="735251024">
      <w:bodyDiv w:val="1"/>
      <w:marLeft w:val="0"/>
      <w:marRight w:val="0"/>
      <w:marTop w:val="0"/>
      <w:marBottom w:val="0"/>
      <w:divBdr>
        <w:top w:val="none" w:sz="0" w:space="0" w:color="auto"/>
        <w:left w:val="none" w:sz="0" w:space="0" w:color="auto"/>
        <w:bottom w:val="none" w:sz="0" w:space="0" w:color="auto"/>
        <w:right w:val="none" w:sz="0" w:space="0" w:color="auto"/>
      </w:divBdr>
    </w:div>
    <w:div w:id="739602388">
      <w:bodyDiv w:val="1"/>
      <w:marLeft w:val="0"/>
      <w:marRight w:val="0"/>
      <w:marTop w:val="0"/>
      <w:marBottom w:val="0"/>
      <w:divBdr>
        <w:top w:val="none" w:sz="0" w:space="0" w:color="auto"/>
        <w:left w:val="none" w:sz="0" w:space="0" w:color="auto"/>
        <w:bottom w:val="none" w:sz="0" w:space="0" w:color="auto"/>
        <w:right w:val="none" w:sz="0" w:space="0" w:color="auto"/>
      </w:divBdr>
    </w:div>
    <w:div w:id="775518602">
      <w:bodyDiv w:val="1"/>
      <w:marLeft w:val="0"/>
      <w:marRight w:val="0"/>
      <w:marTop w:val="0"/>
      <w:marBottom w:val="0"/>
      <w:divBdr>
        <w:top w:val="none" w:sz="0" w:space="0" w:color="auto"/>
        <w:left w:val="none" w:sz="0" w:space="0" w:color="auto"/>
        <w:bottom w:val="none" w:sz="0" w:space="0" w:color="auto"/>
        <w:right w:val="none" w:sz="0" w:space="0" w:color="auto"/>
      </w:divBdr>
    </w:div>
    <w:div w:id="800539968">
      <w:bodyDiv w:val="1"/>
      <w:marLeft w:val="0"/>
      <w:marRight w:val="0"/>
      <w:marTop w:val="0"/>
      <w:marBottom w:val="0"/>
      <w:divBdr>
        <w:top w:val="none" w:sz="0" w:space="0" w:color="auto"/>
        <w:left w:val="none" w:sz="0" w:space="0" w:color="auto"/>
        <w:bottom w:val="none" w:sz="0" w:space="0" w:color="auto"/>
        <w:right w:val="none" w:sz="0" w:space="0" w:color="auto"/>
      </w:divBdr>
    </w:div>
    <w:div w:id="806971440">
      <w:bodyDiv w:val="1"/>
      <w:marLeft w:val="0"/>
      <w:marRight w:val="0"/>
      <w:marTop w:val="0"/>
      <w:marBottom w:val="0"/>
      <w:divBdr>
        <w:top w:val="none" w:sz="0" w:space="0" w:color="auto"/>
        <w:left w:val="none" w:sz="0" w:space="0" w:color="auto"/>
        <w:bottom w:val="none" w:sz="0" w:space="0" w:color="auto"/>
        <w:right w:val="none" w:sz="0" w:space="0" w:color="auto"/>
      </w:divBdr>
    </w:div>
    <w:div w:id="809203827">
      <w:bodyDiv w:val="1"/>
      <w:marLeft w:val="0"/>
      <w:marRight w:val="0"/>
      <w:marTop w:val="0"/>
      <w:marBottom w:val="0"/>
      <w:divBdr>
        <w:top w:val="none" w:sz="0" w:space="0" w:color="auto"/>
        <w:left w:val="none" w:sz="0" w:space="0" w:color="auto"/>
        <w:bottom w:val="none" w:sz="0" w:space="0" w:color="auto"/>
        <w:right w:val="none" w:sz="0" w:space="0" w:color="auto"/>
      </w:divBdr>
    </w:div>
    <w:div w:id="809715354">
      <w:bodyDiv w:val="1"/>
      <w:marLeft w:val="0"/>
      <w:marRight w:val="0"/>
      <w:marTop w:val="0"/>
      <w:marBottom w:val="0"/>
      <w:divBdr>
        <w:top w:val="none" w:sz="0" w:space="0" w:color="auto"/>
        <w:left w:val="none" w:sz="0" w:space="0" w:color="auto"/>
        <w:bottom w:val="none" w:sz="0" w:space="0" w:color="auto"/>
        <w:right w:val="none" w:sz="0" w:space="0" w:color="auto"/>
      </w:divBdr>
    </w:div>
    <w:div w:id="820459751">
      <w:bodyDiv w:val="1"/>
      <w:marLeft w:val="0"/>
      <w:marRight w:val="0"/>
      <w:marTop w:val="0"/>
      <w:marBottom w:val="0"/>
      <w:divBdr>
        <w:top w:val="none" w:sz="0" w:space="0" w:color="auto"/>
        <w:left w:val="none" w:sz="0" w:space="0" w:color="auto"/>
        <w:bottom w:val="none" w:sz="0" w:space="0" w:color="auto"/>
        <w:right w:val="none" w:sz="0" w:space="0" w:color="auto"/>
      </w:divBdr>
    </w:div>
    <w:div w:id="833492758">
      <w:bodyDiv w:val="1"/>
      <w:marLeft w:val="0"/>
      <w:marRight w:val="0"/>
      <w:marTop w:val="0"/>
      <w:marBottom w:val="0"/>
      <w:divBdr>
        <w:top w:val="none" w:sz="0" w:space="0" w:color="auto"/>
        <w:left w:val="none" w:sz="0" w:space="0" w:color="auto"/>
        <w:bottom w:val="none" w:sz="0" w:space="0" w:color="auto"/>
        <w:right w:val="none" w:sz="0" w:space="0" w:color="auto"/>
      </w:divBdr>
    </w:div>
    <w:div w:id="838736545">
      <w:bodyDiv w:val="1"/>
      <w:marLeft w:val="0"/>
      <w:marRight w:val="0"/>
      <w:marTop w:val="0"/>
      <w:marBottom w:val="0"/>
      <w:divBdr>
        <w:top w:val="none" w:sz="0" w:space="0" w:color="auto"/>
        <w:left w:val="none" w:sz="0" w:space="0" w:color="auto"/>
        <w:bottom w:val="none" w:sz="0" w:space="0" w:color="auto"/>
        <w:right w:val="none" w:sz="0" w:space="0" w:color="auto"/>
      </w:divBdr>
    </w:div>
    <w:div w:id="853958773">
      <w:bodyDiv w:val="1"/>
      <w:marLeft w:val="0"/>
      <w:marRight w:val="0"/>
      <w:marTop w:val="0"/>
      <w:marBottom w:val="0"/>
      <w:divBdr>
        <w:top w:val="none" w:sz="0" w:space="0" w:color="auto"/>
        <w:left w:val="none" w:sz="0" w:space="0" w:color="auto"/>
        <w:bottom w:val="none" w:sz="0" w:space="0" w:color="auto"/>
        <w:right w:val="none" w:sz="0" w:space="0" w:color="auto"/>
      </w:divBdr>
    </w:div>
    <w:div w:id="877160379">
      <w:bodyDiv w:val="1"/>
      <w:marLeft w:val="0"/>
      <w:marRight w:val="0"/>
      <w:marTop w:val="0"/>
      <w:marBottom w:val="0"/>
      <w:divBdr>
        <w:top w:val="none" w:sz="0" w:space="0" w:color="auto"/>
        <w:left w:val="none" w:sz="0" w:space="0" w:color="auto"/>
        <w:bottom w:val="none" w:sz="0" w:space="0" w:color="auto"/>
        <w:right w:val="none" w:sz="0" w:space="0" w:color="auto"/>
      </w:divBdr>
    </w:div>
    <w:div w:id="877667895">
      <w:bodyDiv w:val="1"/>
      <w:marLeft w:val="0"/>
      <w:marRight w:val="0"/>
      <w:marTop w:val="0"/>
      <w:marBottom w:val="0"/>
      <w:divBdr>
        <w:top w:val="none" w:sz="0" w:space="0" w:color="auto"/>
        <w:left w:val="none" w:sz="0" w:space="0" w:color="auto"/>
        <w:bottom w:val="none" w:sz="0" w:space="0" w:color="auto"/>
        <w:right w:val="none" w:sz="0" w:space="0" w:color="auto"/>
      </w:divBdr>
    </w:div>
    <w:div w:id="892041812">
      <w:bodyDiv w:val="1"/>
      <w:marLeft w:val="0"/>
      <w:marRight w:val="0"/>
      <w:marTop w:val="0"/>
      <w:marBottom w:val="0"/>
      <w:divBdr>
        <w:top w:val="none" w:sz="0" w:space="0" w:color="auto"/>
        <w:left w:val="none" w:sz="0" w:space="0" w:color="auto"/>
        <w:bottom w:val="none" w:sz="0" w:space="0" w:color="auto"/>
        <w:right w:val="none" w:sz="0" w:space="0" w:color="auto"/>
      </w:divBdr>
    </w:div>
    <w:div w:id="924457680">
      <w:bodyDiv w:val="1"/>
      <w:marLeft w:val="0"/>
      <w:marRight w:val="0"/>
      <w:marTop w:val="0"/>
      <w:marBottom w:val="0"/>
      <w:divBdr>
        <w:top w:val="none" w:sz="0" w:space="0" w:color="auto"/>
        <w:left w:val="none" w:sz="0" w:space="0" w:color="auto"/>
        <w:bottom w:val="none" w:sz="0" w:space="0" w:color="auto"/>
        <w:right w:val="none" w:sz="0" w:space="0" w:color="auto"/>
      </w:divBdr>
    </w:div>
    <w:div w:id="948270417">
      <w:bodyDiv w:val="1"/>
      <w:marLeft w:val="0"/>
      <w:marRight w:val="0"/>
      <w:marTop w:val="0"/>
      <w:marBottom w:val="0"/>
      <w:divBdr>
        <w:top w:val="none" w:sz="0" w:space="0" w:color="auto"/>
        <w:left w:val="none" w:sz="0" w:space="0" w:color="auto"/>
        <w:bottom w:val="none" w:sz="0" w:space="0" w:color="auto"/>
        <w:right w:val="none" w:sz="0" w:space="0" w:color="auto"/>
      </w:divBdr>
    </w:div>
    <w:div w:id="957759907">
      <w:bodyDiv w:val="1"/>
      <w:marLeft w:val="0"/>
      <w:marRight w:val="0"/>
      <w:marTop w:val="0"/>
      <w:marBottom w:val="0"/>
      <w:divBdr>
        <w:top w:val="none" w:sz="0" w:space="0" w:color="auto"/>
        <w:left w:val="none" w:sz="0" w:space="0" w:color="auto"/>
        <w:bottom w:val="none" w:sz="0" w:space="0" w:color="auto"/>
        <w:right w:val="none" w:sz="0" w:space="0" w:color="auto"/>
      </w:divBdr>
    </w:div>
    <w:div w:id="962539639">
      <w:bodyDiv w:val="1"/>
      <w:marLeft w:val="0"/>
      <w:marRight w:val="0"/>
      <w:marTop w:val="0"/>
      <w:marBottom w:val="0"/>
      <w:divBdr>
        <w:top w:val="none" w:sz="0" w:space="0" w:color="auto"/>
        <w:left w:val="none" w:sz="0" w:space="0" w:color="auto"/>
        <w:bottom w:val="none" w:sz="0" w:space="0" w:color="auto"/>
        <w:right w:val="none" w:sz="0" w:space="0" w:color="auto"/>
      </w:divBdr>
    </w:div>
    <w:div w:id="967011620">
      <w:bodyDiv w:val="1"/>
      <w:marLeft w:val="0"/>
      <w:marRight w:val="0"/>
      <w:marTop w:val="0"/>
      <w:marBottom w:val="0"/>
      <w:divBdr>
        <w:top w:val="none" w:sz="0" w:space="0" w:color="auto"/>
        <w:left w:val="none" w:sz="0" w:space="0" w:color="auto"/>
        <w:bottom w:val="none" w:sz="0" w:space="0" w:color="auto"/>
        <w:right w:val="none" w:sz="0" w:space="0" w:color="auto"/>
      </w:divBdr>
    </w:div>
    <w:div w:id="974330321">
      <w:bodyDiv w:val="1"/>
      <w:marLeft w:val="0"/>
      <w:marRight w:val="0"/>
      <w:marTop w:val="0"/>
      <w:marBottom w:val="0"/>
      <w:divBdr>
        <w:top w:val="none" w:sz="0" w:space="0" w:color="auto"/>
        <w:left w:val="none" w:sz="0" w:space="0" w:color="auto"/>
        <w:bottom w:val="none" w:sz="0" w:space="0" w:color="auto"/>
        <w:right w:val="none" w:sz="0" w:space="0" w:color="auto"/>
      </w:divBdr>
    </w:div>
    <w:div w:id="984120288">
      <w:bodyDiv w:val="1"/>
      <w:marLeft w:val="0"/>
      <w:marRight w:val="0"/>
      <w:marTop w:val="0"/>
      <w:marBottom w:val="0"/>
      <w:divBdr>
        <w:top w:val="none" w:sz="0" w:space="0" w:color="auto"/>
        <w:left w:val="none" w:sz="0" w:space="0" w:color="auto"/>
        <w:bottom w:val="none" w:sz="0" w:space="0" w:color="auto"/>
        <w:right w:val="none" w:sz="0" w:space="0" w:color="auto"/>
      </w:divBdr>
    </w:div>
    <w:div w:id="986670675">
      <w:bodyDiv w:val="1"/>
      <w:marLeft w:val="0"/>
      <w:marRight w:val="0"/>
      <w:marTop w:val="0"/>
      <w:marBottom w:val="0"/>
      <w:divBdr>
        <w:top w:val="none" w:sz="0" w:space="0" w:color="auto"/>
        <w:left w:val="none" w:sz="0" w:space="0" w:color="auto"/>
        <w:bottom w:val="none" w:sz="0" w:space="0" w:color="auto"/>
        <w:right w:val="none" w:sz="0" w:space="0" w:color="auto"/>
      </w:divBdr>
    </w:div>
    <w:div w:id="1014579506">
      <w:bodyDiv w:val="1"/>
      <w:marLeft w:val="0"/>
      <w:marRight w:val="0"/>
      <w:marTop w:val="0"/>
      <w:marBottom w:val="0"/>
      <w:divBdr>
        <w:top w:val="none" w:sz="0" w:space="0" w:color="auto"/>
        <w:left w:val="none" w:sz="0" w:space="0" w:color="auto"/>
        <w:bottom w:val="none" w:sz="0" w:space="0" w:color="auto"/>
        <w:right w:val="none" w:sz="0" w:space="0" w:color="auto"/>
      </w:divBdr>
    </w:div>
    <w:div w:id="1038746255">
      <w:bodyDiv w:val="1"/>
      <w:marLeft w:val="0"/>
      <w:marRight w:val="0"/>
      <w:marTop w:val="0"/>
      <w:marBottom w:val="0"/>
      <w:divBdr>
        <w:top w:val="none" w:sz="0" w:space="0" w:color="auto"/>
        <w:left w:val="none" w:sz="0" w:space="0" w:color="auto"/>
        <w:bottom w:val="none" w:sz="0" w:space="0" w:color="auto"/>
        <w:right w:val="none" w:sz="0" w:space="0" w:color="auto"/>
      </w:divBdr>
    </w:div>
    <w:div w:id="1041906596">
      <w:bodyDiv w:val="1"/>
      <w:marLeft w:val="0"/>
      <w:marRight w:val="0"/>
      <w:marTop w:val="0"/>
      <w:marBottom w:val="0"/>
      <w:divBdr>
        <w:top w:val="none" w:sz="0" w:space="0" w:color="auto"/>
        <w:left w:val="none" w:sz="0" w:space="0" w:color="auto"/>
        <w:bottom w:val="none" w:sz="0" w:space="0" w:color="auto"/>
        <w:right w:val="none" w:sz="0" w:space="0" w:color="auto"/>
      </w:divBdr>
    </w:div>
    <w:div w:id="1114440595">
      <w:bodyDiv w:val="1"/>
      <w:marLeft w:val="0"/>
      <w:marRight w:val="0"/>
      <w:marTop w:val="0"/>
      <w:marBottom w:val="0"/>
      <w:divBdr>
        <w:top w:val="none" w:sz="0" w:space="0" w:color="auto"/>
        <w:left w:val="none" w:sz="0" w:space="0" w:color="auto"/>
        <w:bottom w:val="none" w:sz="0" w:space="0" w:color="auto"/>
        <w:right w:val="none" w:sz="0" w:space="0" w:color="auto"/>
      </w:divBdr>
    </w:div>
    <w:div w:id="1125388898">
      <w:bodyDiv w:val="1"/>
      <w:marLeft w:val="0"/>
      <w:marRight w:val="0"/>
      <w:marTop w:val="0"/>
      <w:marBottom w:val="0"/>
      <w:divBdr>
        <w:top w:val="none" w:sz="0" w:space="0" w:color="auto"/>
        <w:left w:val="none" w:sz="0" w:space="0" w:color="auto"/>
        <w:bottom w:val="none" w:sz="0" w:space="0" w:color="auto"/>
        <w:right w:val="none" w:sz="0" w:space="0" w:color="auto"/>
      </w:divBdr>
    </w:div>
    <w:div w:id="1138108403">
      <w:bodyDiv w:val="1"/>
      <w:marLeft w:val="0"/>
      <w:marRight w:val="0"/>
      <w:marTop w:val="0"/>
      <w:marBottom w:val="0"/>
      <w:divBdr>
        <w:top w:val="none" w:sz="0" w:space="0" w:color="auto"/>
        <w:left w:val="none" w:sz="0" w:space="0" w:color="auto"/>
        <w:bottom w:val="none" w:sz="0" w:space="0" w:color="auto"/>
        <w:right w:val="none" w:sz="0" w:space="0" w:color="auto"/>
      </w:divBdr>
    </w:div>
    <w:div w:id="1143038742">
      <w:bodyDiv w:val="1"/>
      <w:marLeft w:val="0"/>
      <w:marRight w:val="0"/>
      <w:marTop w:val="0"/>
      <w:marBottom w:val="0"/>
      <w:divBdr>
        <w:top w:val="none" w:sz="0" w:space="0" w:color="auto"/>
        <w:left w:val="none" w:sz="0" w:space="0" w:color="auto"/>
        <w:bottom w:val="none" w:sz="0" w:space="0" w:color="auto"/>
        <w:right w:val="none" w:sz="0" w:space="0" w:color="auto"/>
      </w:divBdr>
    </w:div>
    <w:div w:id="1157039033">
      <w:bodyDiv w:val="1"/>
      <w:marLeft w:val="0"/>
      <w:marRight w:val="0"/>
      <w:marTop w:val="0"/>
      <w:marBottom w:val="0"/>
      <w:divBdr>
        <w:top w:val="none" w:sz="0" w:space="0" w:color="auto"/>
        <w:left w:val="none" w:sz="0" w:space="0" w:color="auto"/>
        <w:bottom w:val="none" w:sz="0" w:space="0" w:color="auto"/>
        <w:right w:val="none" w:sz="0" w:space="0" w:color="auto"/>
      </w:divBdr>
    </w:div>
    <w:div w:id="1181360827">
      <w:bodyDiv w:val="1"/>
      <w:marLeft w:val="0"/>
      <w:marRight w:val="0"/>
      <w:marTop w:val="0"/>
      <w:marBottom w:val="0"/>
      <w:divBdr>
        <w:top w:val="none" w:sz="0" w:space="0" w:color="auto"/>
        <w:left w:val="none" w:sz="0" w:space="0" w:color="auto"/>
        <w:bottom w:val="none" w:sz="0" w:space="0" w:color="auto"/>
        <w:right w:val="none" w:sz="0" w:space="0" w:color="auto"/>
      </w:divBdr>
    </w:div>
    <w:div w:id="1189296632">
      <w:bodyDiv w:val="1"/>
      <w:marLeft w:val="0"/>
      <w:marRight w:val="0"/>
      <w:marTop w:val="0"/>
      <w:marBottom w:val="0"/>
      <w:divBdr>
        <w:top w:val="none" w:sz="0" w:space="0" w:color="auto"/>
        <w:left w:val="none" w:sz="0" w:space="0" w:color="auto"/>
        <w:bottom w:val="none" w:sz="0" w:space="0" w:color="auto"/>
        <w:right w:val="none" w:sz="0" w:space="0" w:color="auto"/>
      </w:divBdr>
    </w:div>
    <w:div w:id="1192262072">
      <w:bodyDiv w:val="1"/>
      <w:marLeft w:val="0"/>
      <w:marRight w:val="0"/>
      <w:marTop w:val="0"/>
      <w:marBottom w:val="0"/>
      <w:divBdr>
        <w:top w:val="none" w:sz="0" w:space="0" w:color="auto"/>
        <w:left w:val="none" w:sz="0" w:space="0" w:color="auto"/>
        <w:bottom w:val="none" w:sz="0" w:space="0" w:color="auto"/>
        <w:right w:val="none" w:sz="0" w:space="0" w:color="auto"/>
      </w:divBdr>
    </w:div>
    <w:div w:id="1227760978">
      <w:bodyDiv w:val="1"/>
      <w:marLeft w:val="0"/>
      <w:marRight w:val="0"/>
      <w:marTop w:val="0"/>
      <w:marBottom w:val="0"/>
      <w:divBdr>
        <w:top w:val="none" w:sz="0" w:space="0" w:color="auto"/>
        <w:left w:val="none" w:sz="0" w:space="0" w:color="auto"/>
        <w:bottom w:val="none" w:sz="0" w:space="0" w:color="auto"/>
        <w:right w:val="none" w:sz="0" w:space="0" w:color="auto"/>
      </w:divBdr>
    </w:div>
    <w:div w:id="1249920759">
      <w:bodyDiv w:val="1"/>
      <w:marLeft w:val="0"/>
      <w:marRight w:val="0"/>
      <w:marTop w:val="0"/>
      <w:marBottom w:val="0"/>
      <w:divBdr>
        <w:top w:val="none" w:sz="0" w:space="0" w:color="auto"/>
        <w:left w:val="none" w:sz="0" w:space="0" w:color="auto"/>
        <w:bottom w:val="none" w:sz="0" w:space="0" w:color="auto"/>
        <w:right w:val="none" w:sz="0" w:space="0" w:color="auto"/>
      </w:divBdr>
    </w:div>
    <w:div w:id="1262638800">
      <w:bodyDiv w:val="1"/>
      <w:marLeft w:val="0"/>
      <w:marRight w:val="0"/>
      <w:marTop w:val="0"/>
      <w:marBottom w:val="0"/>
      <w:divBdr>
        <w:top w:val="none" w:sz="0" w:space="0" w:color="auto"/>
        <w:left w:val="none" w:sz="0" w:space="0" w:color="auto"/>
        <w:bottom w:val="none" w:sz="0" w:space="0" w:color="auto"/>
        <w:right w:val="none" w:sz="0" w:space="0" w:color="auto"/>
      </w:divBdr>
    </w:div>
    <w:div w:id="1276870310">
      <w:bodyDiv w:val="1"/>
      <w:marLeft w:val="0"/>
      <w:marRight w:val="0"/>
      <w:marTop w:val="0"/>
      <w:marBottom w:val="0"/>
      <w:divBdr>
        <w:top w:val="none" w:sz="0" w:space="0" w:color="auto"/>
        <w:left w:val="none" w:sz="0" w:space="0" w:color="auto"/>
        <w:bottom w:val="none" w:sz="0" w:space="0" w:color="auto"/>
        <w:right w:val="none" w:sz="0" w:space="0" w:color="auto"/>
      </w:divBdr>
    </w:div>
    <w:div w:id="1289432682">
      <w:bodyDiv w:val="1"/>
      <w:marLeft w:val="0"/>
      <w:marRight w:val="0"/>
      <w:marTop w:val="0"/>
      <w:marBottom w:val="0"/>
      <w:divBdr>
        <w:top w:val="none" w:sz="0" w:space="0" w:color="auto"/>
        <w:left w:val="none" w:sz="0" w:space="0" w:color="auto"/>
        <w:bottom w:val="none" w:sz="0" w:space="0" w:color="auto"/>
        <w:right w:val="none" w:sz="0" w:space="0" w:color="auto"/>
      </w:divBdr>
    </w:div>
    <w:div w:id="1307663150">
      <w:bodyDiv w:val="1"/>
      <w:marLeft w:val="0"/>
      <w:marRight w:val="0"/>
      <w:marTop w:val="0"/>
      <w:marBottom w:val="0"/>
      <w:divBdr>
        <w:top w:val="none" w:sz="0" w:space="0" w:color="auto"/>
        <w:left w:val="none" w:sz="0" w:space="0" w:color="auto"/>
        <w:bottom w:val="none" w:sz="0" w:space="0" w:color="auto"/>
        <w:right w:val="none" w:sz="0" w:space="0" w:color="auto"/>
      </w:divBdr>
    </w:div>
    <w:div w:id="1323045769">
      <w:bodyDiv w:val="1"/>
      <w:marLeft w:val="0"/>
      <w:marRight w:val="0"/>
      <w:marTop w:val="0"/>
      <w:marBottom w:val="0"/>
      <w:divBdr>
        <w:top w:val="none" w:sz="0" w:space="0" w:color="auto"/>
        <w:left w:val="none" w:sz="0" w:space="0" w:color="auto"/>
        <w:bottom w:val="none" w:sz="0" w:space="0" w:color="auto"/>
        <w:right w:val="none" w:sz="0" w:space="0" w:color="auto"/>
      </w:divBdr>
    </w:div>
    <w:div w:id="1339163530">
      <w:bodyDiv w:val="1"/>
      <w:marLeft w:val="0"/>
      <w:marRight w:val="0"/>
      <w:marTop w:val="0"/>
      <w:marBottom w:val="0"/>
      <w:divBdr>
        <w:top w:val="none" w:sz="0" w:space="0" w:color="auto"/>
        <w:left w:val="none" w:sz="0" w:space="0" w:color="auto"/>
        <w:bottom w:val="none" w:sz="0" w:space="0" w:color="auto"/>
        <w:right w:val="none" w:sz="0" w:space="0" w:color="auto"/>
      </w:divBdr>
    </w:div>
    <w:div w:id="1354989198">
      <w:bodyDiv w:val="1"/>
      <w:marLeft w:val="0"/>
      <w:marRight w:val="0"/>
      <w:marTop w:val="0"/>
      <w:marBottom w:val="0"/>
      <w:divBdr>
        <w:top w:val="none" w:sz="0" w:space="0" w:color="auto"/>
        <w:left w:val="none" w:sz="0" w:space="0" w:color="auto"/>
        <w:bottom w:val="none" w:sz="0" w:space="0" w:color="auto"/>
        <w:right w:val="none" w:sz="0" w:space="0" w:color="auto"/>
      </w:divBdr>
    </w:div>
    <w:div w:id="1363554609">
      <w:bodyDiv w:val="1"/>
      <w:marLeft w:val="0"/>
      <w:marRight w:val="0"/>
      <w:marTop w:val="0"/>
      <w:marBottom w:val="0"/>
      <w:divBdr>
        <w:top w:val="none" w:sz="0" w:space="0" w:color="auto"/>
        <w:left w:val="none" w:sz="0" w:space="0" w:color="auto"/>
        <w:bottom w:val="none" w:sz="0" w:space="0" w:color="auto"/>
        <w:right w:val="none" w:sz="0" w:space="0" w:color="auto"/>
      </w:divBdr>
    </w:div>
    <w:div w:id="1377970567">
      <w:bodyDiv w:val="1"/>
      <w:marLeft w:val="0"/>
      <w:marRight w:val="0"/>
      <w:marTop w:val="0"/>
      <w:marBottom w:val="0"/>
      <w:divBdr>
        <w:top w:val="none" w:sz="0" w:space="0" w:color="auto"/>
        <w:left w:val="none" w:sz="0" w:space="0" w:color="auto"/>
        <w:bottom w:val="none" w:sz="0" w:space="0" w:color="auto"/>
        <w:right w:val="none" w:sz="0" w:space="0" w:color="auto"/>
      </w:divBdr>
    </w:div>
    <w:div w:id="1381707986">
      <w:bodyDiv w:val="1"/>
      <w:marLeft w:val="0"/>
      <w:marRight w:val="0"/>
      <w:marTop w:val="0"/>
      <w:marBottom w:val="0"/>
      <w:divBdr>
        <w:top w:val="none" w:sz="0" w:space="0" w:color="auto"/>
        <w:left w:val="none" w:sz="0" w:space="0" w:color="auto"/>
        <w:bottom w:val="none" w:sz="0" w:space="0" w:color="auto"/>
        <w:right w:val="none" w:sz="0" w:space="0" w:color="auto"/>
      </w:divBdr>
    </w:div>
    <w:div w:id="1381976661">
      <w:bodyDiv w:val="1"/>
      <w:marLeft w:val="0"/>
      <w:marRight w:val="0"/>
      <w:marTop w:val="0"/>
      <w:marBottom w:val="0"/>
      <w:divBdr>
        <w:top w:val="none" w:sz="0" w:space="0" w:color="auto"/>
        <w:left w:val="none" w:sz="0" w:space="0" w:color="auto"/>
        <w:bottom w:val="none" w:sz="0" w:space="0" w:color="auto"/>
        <w:right w:val="none" w:sz="0" w:space="0" w:color="auto"/>
      </w:divBdr>
    </w:div>
    <w:div w:id="1398093777">
      <w:bodyDiv w:val="1"/>
      <w:marLeft w:val="0"/>
      <w:marRight w:val="0"/>
      <w:marTop w:val="0"/>
      <w:marBottom w:val="0"/>
      <w:divBdr>
        <w:top w:val="none" w:sz="0" w:space="0" w:color="auto"/>
        <w:left w:val="none" w:sz="0" w:space="0" w:color="auto"/>
        <w:bottom w:val="none" w:sz="0" w:space="0" w:color="auto"/>
        <w:right w:val="none" w:sz="0" w:space="0" w:color="auto"/>
      </w:divBdr>
    </w:div>
    <w:div w:id="1399133983">
      <w:bodyDiv w:val="1"/>
      <w:marLeft w:val="0"/>
      <w:marRight w:val="0"/>
      <w:marTop w:val="0"/>
      <w:marBottom w:val="0"/>
      <w:divBdr>
        <w:top w:val="none" w:sz="0" w:space="0" w:color="auto"/>
        <w:left w:val="none" w:sz="0" w:space="0" w:color="auto"/>
        <w:bottom w:val="none" w:sz="0" w:space="0" w:color="auto"/>
        <w:right w:val="none" w:sz="0" w:space="0" w:color="auto"/>
      </w:divBdr>
    </w:div>
    <w:div w:id="1408260453">
      <w:bodyDiv w:val="1"/>
      <w:marLeft w:val="0"/>
      <w:marRight w:val="0"/>
      <w:marTop w:val="0"/>
      <w:marBottom w:val="0"/>
      <w:divBdr>
        <w:top w:val="none" w:sz="0" w:space="0" w:color="auto"/>
        <w:left w:val="none" w:sz="0" w:space="0" w:color="auto"/>
        <w:bottom w:val="none" w:sz="0" w:space="0" w:color="auto"/>
        <w:right w:val="none" w:sz="0" w:space="0" w:color="auto"/>
      </w:divBdr>
    </w:div>
    <w:div w:id="1433086891">
      <w:bodyDiv w:val="1"/>
      <w:marLeft w:val="0"/>
      <w:marRight w:val="0"/>
      <w:marTop w:val="0"/>
      <w:marBottom w:val="0"/>
      <w:divBdr>
        <w:top w:val="none" w:sz="0" w:space="0" w:color="auto"/>
        <w:left w:val="none" w:sz="0" w:space="0" w:color="auto"/>
        <w:bottom w:val="none" w:sz="0" w:space="0" w:color="auto"/>
        <w:right w:val="none" w:sz="0" w:space="0" w:color="auto"/>
      </w:divBdr>
    </w:div>
    <w:div w:id="1469739230">
      <w:bodyDiv w:val="1"/>
      <w:marLeft w:val="0"/>
      <w:marRight w:val="0"/>
      <w:marTop w:val="0"/>
      <w:marBottom w:val="0"/>
      <w:divBdr>
        <w:top w:val="none" w:sz="0" w:space="0" w:color="auto"/>
        <w:left w:val="none" w:sz="0" w:space="0" w:color="auto"/>
        <w:bottom w:val="none" w:sz="0" w:space="0" w:color="auto"/>
        <w:right w:val="none" w:sz="0" w:space="0" w:color="auto"/>
      </w:divBdr>
    </w:div>
    <w:div w:id="1485856264">
      <w:bodyDiv w:val="1"/>
      <w:marLeft w:val="0"/>
      <w:marRight w:val="0"/>
      <w:marTop w:val="0"/>
      <w:marBottom w:val="0"/>
      <w:divBdr>
        <w:top w:val="none" w:sz="0" w:space="0" w:color="auto"/>
        <w:left w:val="none" w:sz="0" w:space="0" w:color="auto"/>
        <w:bottom w:val="none" w:sz="0" w:space="0" w:color="auto"/>
        <w:right w:val="none" w:sz="0" w:space="0" w:color="auto"/>
      </w:divBdr>
    </w:div>
    <w:div w:id="1486236589">
      <w:bodyDiv w:val="1"/>
      <w:marLeft w:val="0"/>
      <w:marRight w:val="0"/>
      <w:marTop w:val="0"/>
      <w:marBottom w:val="0"/>
      <w:divBdr>
        <w:top w:val="none" w:sz="0" w:space="0" w:color="auto"/>
        <w:left w:val="none" w:sz="0" w:space="0" w:color="auto"/>
        <w:bottom w:val="none" w:sz="0" w:space="0" w:color="auto"/>
        <w:right w:val="none" w:sz="0" w:space="0" w:color="auto"/>
      </w:divBdr>
    </w:div>
    <w:div w:id="1501192308">
      <w:bodyDiv w:val="1"/>
      <w:marLeft w:val="0"/>
      <w:marRight w:val="0"/>
      <w:marTop w:val="0"/>
      <w:marBottom w:val="0"/>
      <w:divBdr>
        <w:top w:val="none" w:sz="0" w:space="0" w:color="auto"/>
        <w:left w:val="none" w:sz="0" w:space="0" w:color="auto"/>
        <w:bottom w:val="none" w:sz="0" w:space="0" w:color="auto"/>
        <w:right w:val="none" w:sz="0" w:space="0" w:color="auto"/>
      </w:divBdr>
    </w:div>
    <w:div w:id="1508524590">
      <w:bodyDiv w:val="1"/>
      <w:marLeft w:val="0"/>
      <w:marRight w:val="0"/>
      <w:marTop w:val="0"/>
      <w:marBottom w:val="0"/>
      <w:divBdr>
        <w:top w:val="none" w:sz="0" w:space="0" w:color="auto"/>
        <w:left w:val="none" w:sz="0" w:space="0" w:color="auto"/>
        <w:bottom w:val="none" w:sz="0" w:space="0" w:color="auto"/>
        <w:right w:val="none" w:sz="0" w:space="0" w:color="auto"/>
      </w:divBdr>
    </w:div>
    <w:div w:id="1509372573">
      <w:bodyDiv w:val="1"/>
      <w:marLeft w:val="0"/>
      <w:marRight w:val="0"/>
      <w:marTop w:val="0"/>
      <w:marBottom w:val="0"/>
      <w:divBdr>
        <w:top w:val="none" w:sz="0" w:space="0" w:color="auto"/>
        <w:left w:val="none" w:sz="0" w:space="0" w:color="auto"/>
        <w:bottom w:val="none" w:sz="0" w:space="0" w:color="auto"/>
        <w:right w:val="none" w:sz="0" w:space="0" w:color="auto"/>
      </w:divBdr>
    </w:div>
    <w:div w:id="1528525521">
      <w:bodyDiv w:val="1"/>
      <w:marLeft w:val="0"/>
      <w:marRight w:val="0"/>
      <w:marTop w:val="0"/>
      <w:marBottom w:val="0"/>
      <w:divBdr>
        <w:top w:val="none" w:sz="0" w:space="0" w:color="auto"/>
        <w:left w:val="none" w:sz="0" w:space="0" w:color="auto"/>
        <w:bottom w:val="none" w:sz="0" w:space="0" w:color="auto"/>
        <w:right w:val="none" w:sz="0" w:space="0" w:color="auto"/>
      </w:divBdr>
    </w:div>
    <w:div w:id="1531990300">
      <w:bodyDiv w:val="1"/>
      <w:marLeft w:val="0"/>
      <w:marRight w:val="0"/>
      <w:marTop w:val="0"/>
      <w:marBottom w:val="0"/>
      <w:divBdr>
        <w:top w:val="none" w:sz="0" w:space="0" w:color="auto"/>
        <w:left w:val="none" w:sz="0" w:space="0" w:color="auto"/>
        <w:bottom w:val="none" w:sz="0" w:space="0" w:color="auto"/>
        <w:right w:val="none" w:sz="0" w:space="0" w:color="auto"/>
      </w:divBdr>
    </w:div>
    <w:div w:id="1609656386">
      <w:bodyDiv w:val="1"/>
      <w:marLeft w:val="0"/>
      <w:marRight w:val="0"/>
      <w:marTop w:val="0"/>
      <w:marBottom w:val="0"/>
      <w:divBdr>
        <w:top w:val="none" w:sz="0" w:space="0" w:color="auto"/>
        <w:left w:val="none" w:sz="0" w:space="0" w:color="auto"/>
        <w:bottom w:val="none" w:sz="0" w:space="0" w:color="auto"/>
        <w:right w:val="none" w:sz="0" w:space="0" w:color="auto"/>
      </w:divBdr>
    </w:div>
    <w:div w:id="1620726110">
      <w:bodyDiv w:val="1"/>
      <w:marLeft w:val="0"/>
      <w:marRight w:val="0"/>
      <w:marTop w:val="0"/>
      <w:marBottom w:val="0"/>
      <w:divBdr>
        <w:top w:val="none" w:sz="0" w:space="0" w:color="auto"/>
        <w:left w:val="none" w:sz="0" w:space="0" w:color="auto"/>
        <w:bottom w:val="none" w:sz="0" w:space="0" w:color="auto"/>
        <w:right w:val="none" w:sz="0" w:space="0" w:color="auto"/>
      </w:divBdr>
    </w:div>
    <w:div w:id="1640577403">
      <w:bodyDiv w:val="1"/>
      <w:marLeft w:val="0"/>
      <w:marRight w:val="0"/>
      <w:marTop w:val="0"/>
      <w:marBottom w:val="0"/>
      <w:divBdr>
        <w:top w:val="none" w:sz="0" w:space="0" w:color="auto"/>
        <w:left w:val="none" w:sz="0" w:space="0" w:color="auto"/>
        <w:bottom w:val="none" w:sz="0" w:space="0" w:color="auto"/>
        <w:right w:val="none" w:sz="0" w:space="0" w:color="auto"/>
      </w:divBdr>
    </w:div>
    <w:div w:id="1646472473">
      <w:bodyDiv w:val="1"/>
      <w:marLeft w:val="0"/>
      <w:marRight w:val="0"/>
      <w:marTop w:val="0"/>
      <w:marBottom w:val="0"/>
      <w:divBdr>
        <w:top w:val="none" w:sz="0" w:space="0" w:color="auto"/>
        <w:left w:val="none" w:sz="0" w:space="0" w:color="auto"/>
        <w:bottom w:val="none" w:sz="0" w:space="0" w:color="auto"/>
        <w:right w:val="none" w:sz="0" w:space="0" w:color="auto"/>
      </w:divBdr>
    </w:div>
    <w:div w:id="1649089339">
      <w:bodyDiv w:val="1"/>
      <w:marLeft w:val="0"/>
      <w:marRight w:val="0"/>
      <w:marTop w:val="0"/>
      <w:marBottom w:val="0"/>
      <w:divBdr>
        <w:top w:val="none" w:sz="0" w:space="0" w:color="auto"/>
        <w:left w:val="none" w:sz="0" w:space="0" w:color="auto"/>
        <w:bottom w:val="none" w:sz="0" w:space="0" w:color="auto"/>
        <w:right w:val="none" w:sz="0" w:space="0" w:color="auto"/>
      </w:divBdr>
    </w:div>
    <w:div w:id="1674841728">
      <w:bodyDiv w:val="1"/>
      <w:marLeft w:val="0"/>
      <w:marRight w:val="0"/>
      <w:marTop w:val="0"/>
      <w:marBottom w:val="0"/>
      <w:divBdr>
        <w:top w:val="none" w:sz="0" w:space="0" w:color="auto"/>
        <w:left w:val="none" w:sz="0" w:space="0" w:color="auto"/>
        <w:bottom w:val="none" w:sz="0" w:space="0" w:color="auto"/>
        <w:right w:val="none" w:sz="0" w:space="0" w:color="auto"/>
      </w:divBdr>
    </w:div>
    <w:div w:id="1675523804">
      <w:bodyDiv w:val="1"/>
      <w:marLeft w:val="0"/>
      <w:marRight w:val="0"/>
      <w:marTop w:val="0"/>
      <w:marBottom w:val="0"/>
      <w:divBdr>
        <w:top w:val="none" w:sz="0" w:space="0" w:color="auto"/>
        <w:left w:val="none" w:sz="0" w:space="0" w:color="auto"/>
        <w:bottom w:val="none" w:sz="0" w:space="0" w:color="auto"/>
        <w:right w:val="none" w:sz="0" w:space="0" w:color="auto"/>
      </w:divBdr>
    </w:div>
    <w:div w:id="1695568715">
      <w:bodyDiv w:val="1"/>
      <w:marLeft w:val="0"/>
      <w:marRight w:val="0"/>
      <w:marTop w:val="0"/>
      <w:marBottom w:val="0"/>
      <w:divBdr>
        <w:top w:val="none" w:sz="0" w:space="0" w:color="auto"/>
        <w:left w:val="none" w:sz="0" w:space="0" w:color="auto"/>
        <w:bottom w:val="none" w:sz="0" w:space="0" w:color="auto"/>
        <w:right w:val="none" w:sz="0" w:space="0" w:color="auto"/>
      </w:divBdr>
    </w:div>
    <w:div w:id="1711296144">
      <w:bodyDiv w:val="1"/>
      <w:marLeft w:val="0"/>
      <w:marRight w:val="0"/>
      <w:marTop w:val="0"/>
      <w:marBottom w:val="0"/>
      <w:divBdr>
        <w:top w:val="none" w:sz="0" w:space="0" w:color="auto"/>
        <w:left w:val="none" w:sz="0" w:space="0" w:color="auto"/>
        <w:bottom w:val="none" w:sz="0" w:space="0" w:color="auto"/>
        <w:right w:val="none" w:sz="0" w:space="0" w:color="auto"/>
      </w:divBdr>
    </w:div>
    <w:div w:id="1713382722">
      <w:bodyDiv w:val="1"/>
      <w:marLeft w:val="0"/>
      <w:marRight w:val="0"/>
      <w:marTop w:val="0"/>
      <w:marBottom w:val="0"/>
      <w:divBdr>
        <w:top w:val="none" w:sz="0" w:space="0" w:color="auto"/>
        <w:left w:val="none" w:sz="0" w:space="0" w:color="auto"/>
        <w:bottom w:val="none" w:sz="0" w:space="0" w:color="auto"/>
        <w:right w:val="none" w:sz="0" w:space="0" w:color="auto"/>
      </w:divBdr>
    </w:div>
    <w:div w:id="1754742513">
      <w:bodyDiv w:val="1"/>
      <w:marLeft w:val="0"/>
      <w:marRight w:val="0"/>
      <w:marTop w:val="0"/>
      <w:marBottom w:val="0"/>
      <w:divBdr>
        <w:top w:val="none" w:sz="0" w:space="0" w:color="auto"/>
        <w:left w:val="none" w:sz="0" w:space="0" w:color="auto"/>
        <w:bottom w:val="none" w:sz="0" w:space="0" w:color="auto"/>
        <w:right w:val="none" w:sz="0" w:space="0" w:color="auto"/>
      </w:divBdr>
    </w:div>
    <w:div w:id="1755857185">
      <w:bodyDiv w:val="1"/>
      <w:marLeft w:val="0"/>
      <w:marRight w:val="0"/>
      <w:marTop w:val="0"/>
      <w:marBottom w:val="0"/>
      <w:divBdr>
        <w:top w:val="none" w:sz="0" w:space="0" w:color="auto"/>
        <w:left w:val="none" w:sz="0" w:space="0" w:color="auto"/>
        <w:bottom w:val="none" w:sz="0" w:space="0" w:color="auto"/>
        <w:right w:val="none" w:sz="0" w:space="0" w:color="auto"/>
      </w:divBdr>
    </w:div>
    <w:div w:id="1760711199">
      <w:bodyDiv w:val="1"/>
      <w:marLeft w:val="0"/>
      <w:marRight w:val="0"/>
      <w:marTop w:val="0"/>
      <w:marBottom w:val="0"/>
      <w:divBdr>
        <w:top w:val="none" w:sz="0" w:space="0" w:color="auto"/>
        <w:left w:val="none" w:sz="0" w:space="0" w:color="auto"/>
        <w:bottom w:val="none" w:sz="0" w:space="0" w:color="auto"/>
        <w:right w:val="none" w:sz="0" w:space="0" w:color="auto"/>
      </w:divBdr>
    </w:div>
    <w:div w:id="1761214510">
      <w:bodyDiv w:val="1"/>
      <w:marLeft w:val="0"/>
      <w:marRight w:val="0"/>
      <w:marTop w:val="0"/>
      <w:marBottom w:val="0"/>
      <w:divBdr>
        <w:top w:val="none" w:sz="0" w:space="0" w:color="auto"/>
        <w:left w:val="none" w:sz="0" w:space="0" w:color="auto"/>
        <w:bottom w:val="none" w:sz="0" w:space="0" w:color="auto"/>
        <w:right w:val="none" w:sz="0" w:space="0" w:color="auto"/>
      </w:divBdr>
    </w:div>
    <w:div w:id="1762214575">
      <w:bodyDiv w:val="1"/>
      <w:marLeft w:val="0"/>
      <w:marRight w:val="0"/>
      <w:marTop w:val="0"/>
      <w:marBottom w:val="0"/>
      <w:divBdr>
        <w:top w:val="none" w:sz="0" w:space="0" w:color="auto"/>
        <w:left w:val="none" w:sz="0" w:space="0" w:color="auto"/>
        <w:bottom w:val="none" w:sz="0" w:space="0" w:color="auto"/>
        <w:right w:val="none" w:sz="0" w:space="0" w:color="auto"/>
      </w:divBdr>
    </w:div>
    <w:div w:id="1765227440">
      <w:bodyDiv w:val="1"/>
      <w:marLeft w:val="0"/>
      <w:marRight w:val="0"/>
      <w:marTop w:val="0"/>
      <w:marBottom w:val="0"/>
      <w:divBdr>
        <w:top w:val="none" w:sz="0" w:space="0" w:color="auto"/>
        <w:left w:val="none" w:sz="0" w:space="0" w:color="auto"/>
        <w:bottom w:val="none" w:sz="0" w:space="0" w:color="auto"/>
        <w:right w:val="none" w:sz="0" w:space="0" w:color="auto"/>
      </w:divBdr>
    </w:div>
    <w:div w:id="1837987547">
      <w:bodyDiv w:val="1"/>
      <w:marLeft w:val="0"/>
      <w:marRight w:val="0"/>
      <w:marTop w:val="0"/>
      <w:marBottom w:val="0"/>
      <w:divBdr>
        <w:top w:val="none" w:sz="0" w:space="0" w:color="auto"/>
        <w:left w:val="none" w:sz="0" w:space="0" w:color="auto"/>
        <w:bottom w:val="none" w:sz="0" w:space="0" w:color="auto"/>
        <w:right w:val="none" w:sz="0" w:space="0" w:color="auto"/>
      </w:divBdr>
    </w:div>
    <w:div w:id="1850296274">
      <w:bodyDiv w:val="1"/>
      <w:marLeft w:val="0"/>
      <w:marRight w:val="0"/>
      <w:marTop w:val="0"/>
      <w:marBottom w:val="0"/>
      <w:divBdr>
        <w:top w:val="none" w:sz="0" w:space="0" w:color="auto"/>
        <w:left w:val="none" w:sz="0" w:space="0" w:color="auto"/>
        <w:bottom w:val="none" w:sz="0" w:space="0" w:color="auto"/>
        <w:right w:val="none" w:sz="0" w:space="0" w:color="auto"/>
      </w:divBdr>
    </w:div>
    <w:div w:id="1855073437">
      <w:bodyDiv w:val="1"/>
      <w:marLeft w:val="0"/>
      <w:marRight w:val="0"/>
      <w:marTop w:val="0"/>
      <w:marBottom w:val="0"/>
      <w:divBdr>
        <w:top w:val="none" w:sz="0" w:space="0" w:color="auto"/>
        <w:left w:val="none" w:sz="0" w:space="0" w:color="auto"/>
        <w:bottom w:val="none" w:sz="0" w:space="0" w:color="auto"/>
        <w:right w:val="none" w:sz="0" w:space="0" w:color="auto"/>
      </w:divBdr>
    </w:div>
    <w:div w:id="1883786290">
      <w:bodyDiv w:val="1"/>
      <w:marLeft w:val="0"/>
      <w:marRight w:val="0"/>
      <w:marTop w:val="0"/>
      <w:marBottom w:val="0"/>
      <w:divBdr>
        <w:top w:val="none" w:sz="0" w:space="0" w:color="auto"/>
        <w:left w:val="none" w:sz="0" w:space="0" w:color="auto"/>
        <w:bottom w:val="none" w:sz="0" w:space="0" w:color="auto"/>
        <w:right w:val="none" w:sz="0" w:space="0" w:color="auto"/>
      </w:divBdr>
    </w:div>
    <w:div w:id="1912542294">
      <w:bodyDiv w:val="1"/>
      <w:marLeft w:val="0"/>
      <w:marRight w:val="0"/>
      <w:marTop w:val="0"/>
      <w:marBottom w:val="0"/>
      <w:divBdr>
        <w:top w:val="none" w:sz="0" w:space="0" w:color="auto"/>
        <w:left w:val="none" w:sz="0" w:space="0" w:color="auto"/>
        <w:bottom w:val="none" w:sz="0" w:space="0" w:color="auto"/>
        <w:right w:val="none" w:sz="0" w:space="0" w:color="auto"/>
      </w:divBdr>
    </w:div>
    <w:div w:id="1927952553">
      <w:bodyDiv w:val="1"/>
      <w:marLeft w:val="0"/>
      <w:marRight w:val="0"/>
      <w:marTop w:val="0"/>
      <w:marBottom w:val="0"/>
      <w:divBdr>
        <w:top w:val="none" w:sz="0" w:space="0" w:color="auto"/>
        <w:left w:val="none" w:sz="0" w:space="0" w:color="auto"/>
        <w:bottom w:val="none" w:sz="0" w:space="0" w:color="auto"/>
        <w:right w:val="none" w:sz="0" w:space="0" w:color="auto"/>
      </w:divBdr>
    </w:div>
    <w:div w:id="1956712952">
      <w:bodyDiv w:val="1"/>
      <w:marLeft w:val="0"/>
      <w:marRight w:val="0"/>
      <w:marTop w:val="0"/>
      <w:marBottom w:val="0"/>
      <w:divBdr>
        <w:top w:val="none" w:sz="0" w:space="0" w:color="auto"/>
        <w:left w:val="none" w:sz="0" w:space="0" w:color="auto"/>
        <w:bottom w:val="none" w:sz="0" w:space="0" w:color="auto"/>
        <w:right w:val="none" w:sz="0" w:space="0" w:color="auto"/>
      </w:divBdr>
    </w:div>
    <w:div w:id="1987510383">
      <w:bodyDiv w:val="1"/>
      <w:marLeft w:val="0"/>
      <w:marRight w:val="0"/>
      <w:marTop w:val="0"/>
      <w:marBottom w:val="0"/>
      <w:divBdr>
        <w:top w:val="none" w:sz="0" w:space="0" w:color="auto"/>
        <w:left w:val="none" w:sz="0" w:space="0" w:color="auto"/>
        <w:bottom w:val="none" w:sz="0" w:space="0" w:color="auto"/>
        <w:right w:val="none" w:sz="0" w:space="0" w:color="auto"/>
      </w:divBdr>
    </w:div>
    <w:div w:id="1990358182">
      <w:bodyDiv w:val="1"/>
      <w:marLeft w:val="0"/>
      <w:marRight w:val="0"/>
      <w:marTop w:val="0"/>
      <w:marBottom w:val="0"/>
      <w:divBdr>
        <w:top w:val="none" w:sz="0" w:space="0" w:color="auto"/>
        <w:left w:val="none" w:sz="0" w:space="0" w:color="auto"/>
        <w:bottom w:val="none" w:sz="0" w:space="0" w:color="auto"/>
        <w:right w:val="none" w:sz="0" w:space="0" w:color="auto"/>
      </w:divBdr>
    </w:div>
    <w:div w:id="1999726953">
      <w:bodyDiv w:val="1"/>
      <w:marLeft w:val="0"/>
      <w:marRight w:val="0"/>
      <w:marTop w:val="0"/>
      <w:marBottom w:val="0"/>
      <w:divBdr>
        <w:top w:val="none" w:sz="0" w:space="0" w:color="auto"/>
        <w:left w:val="none" w:sz="0" w:space="0" w:color="auto"/>
        <w:bottom w:val="none" w:sz="0" w:space="0" w:color="auto"/>
        <w:right w:val="none" w:sz="0" w:space="0" w:color="auto"/>
      </w:divBdr>
    </w:div>
    <w:div w:id="2002780253">
      <w:bodyDiv w:val="1"/>
      <w:marLeft w:val="0"/>
      <w:marRight w:val="0"/>
      <w:marTop w:val="0"/>
      <w:marBottom w:val="0"/>
      <w:divBdr>
        <w:top w:val="none" w:sz="0" w:space="0" w:color="auto"/>
        <w:left w:val="none" w:sz="0" w:space="0" w:color="auto"/>
        <w:bottom w:val="none" w:sz="0" w:space="0" w:color="auto"/>
        <w:right w:val="none" w:sz="0" w:space="0" w:color="auto"/>
      </w:divBdr>
    </w:div>
    <w:div w:id="2025933691">
      <w:bodyDiv w:val="1"/>
      <w:marLeft w:val="0"/>
      <w:marRight w:val="0"/>
      <w:marTop w:val="0"/>
      <w:marBottom w:val="0"/>
      <w:divBdr>
        <w:top w:val="none" w:sz="0" w:space="0" w:color="auto"/>
        <w:left w:val="none" w:sz="0" w:space="0" w:color="auto"/>
        <w:bottom w:val="none" w:sz="0" w:space="0" w:color="auto"/>
        <w:right w:val="none" w:sz="0" w:space="0" w:color="auto"/>
      </w:divBdr>
    </w:div>
    <w:div w:id="2065712433">
      <w:bodyDiv w:val="1"/>
      <w:marLeft w:val="0"/>
      <w:marRight w:val="0"/>
      <w:marTop w:val="0"/>
      <w:marBottom w:val="0"/>
      <w:divBdr>
        <w:top w:val="none" w:sz="0" w:space="0" w:color="auto"/>
        <w:left w:val="none" w:sz="0" w:space="0" w:color="auto"/>
        <w:bottom w:val="none" w:sz="0" w:space="0" w:color="auto"/>
        <w:right w:val="none" w:sz="0" w:space="0" w:color="auto"/>
      </w:divBdr>
    </w:div>
    <w:div w:id="2084372912">
      <w:bodyDiv w:val="1"/>
      <w:marLeft w:val="0"/>
      <w:marRight w:val="0"/>
      <w:marTop w:val="0"/>
      <w:marBottom w:val="0"/>
      <w:divBdr>
        <w:top w:val="none" w:sz="0" w:space="0" w:color="auto"/>
        <w:left w:val="none" w:sz="0" w:space="0" w:color="auto"/>
        <w:bottom w:val="none" w:sz="0" w:space="0" w:color="auto"/>
        <w:right w:val="none" w:sz="0" w:space="0" w:color="auto"/>
      </w:divBdr>
    </w:div>
    <w:div w:id="2094737458">
      <w:bodyDiv w:val="1"/>
      <w:marLeft w:val="0"/>
      <w:marRight w:val="0"/>
      <w:marTop w:val="0"/>
      <w:marBottom w:val="0"/>
      <w:divBdr>
        <w:top w:val="none" w:sz="0" w:space="0" w:color="auto"/>
        <w:left w:val="none" w:sz="0" w:space="0" w:color="auto"/>
        <w:bottom w:val="none" w:sz="0" w:space="0" w:color="auto"/>
        <w:right w:val="none" w:sz="0" w:space="0" w:color="auto"/>
      </w:divBdr>
    </w:div>
    <w:div w:id="2138185055">
      <w:bodyDiv w:val="1"/>
      <w:marLeft w:val="0"/>
      <w:marRight w:val="0"/>
      <w:marTop w:val="0"/>
      <w:marBottom w:val="0"/>
      <w:divBdr>
        <w:top w:val="none" w:sz="0" w:space="0" w:color="auto"/>
        <w:left w:val="none" w:sz="0" w:space="0" w:color="auto"/>
        <w:bottom w:val="none" w:sz="0" w:space="0" w:color="auto"/>
        <w:right w:val="none" w:sz="0" w:space="0" w:color="auto"/>
      </w:divBdr>
    </w:div>
    <w:div w:id="2142184280">
      <w:bodyDiv w:val="1"/>
      <w:marLeft w:val="0"/>
      <w:marRight w:val="0"/>
      <w:marTop w:val="0"/>
      <w:marBottom w:val="0"/>
      <w:divBdr>
        <w:top w:val="none" w:sz="0" w:space="0" w:color="auto"/>
        <w:left w:val="none" w:sz="0" w:space="0" w:color="auto"/>
        <w:bottom w:val="none" w:sz="0" w:space="0" w:color="auto"/>
        <w:right w:val="none" w:sz="0" w:space="0" w:color="auto"/>
      </w:divBdr>
    </w:div>
    <w:div w:id="21433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81EF1-1D01-4194-B0E8-F7D3658C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36459</Words>
  <Characters>20782</Characters>
  <Application>Microsoft Office Word</Application>
  <DocSecurity>0</DocSecurity>
  <Lines>173</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Veri4</dc:creator>
  <cp:lastModifiedBy>Лапшова Елена</cp:lastModifiedBy>
  <cp:revision>6</cp:revision>
  <dcterms:created xsi:type="dcterms:W3CDTF">2014-03-17T07:36:00Z</dcterms:created>
  <dcterms:modified xsi:type="dcterms:W3CDTF">2014-03-17T08:54:00Z</dcterms:modified>
</cp:coreProperties>
</file>